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C842EC" w14:textId="77777777" w:rsidR="00D607AE" w:rsidRDefault="00D607AE">
      <w:pPr>
        <w:spacing w:after="0"/>
        <w:rPr>
          <w:rFonts w:cs="Calibri-BoldItalic"/>
          <w:b/>
          <w:i/>
          <w:szCs w:val="24"/>
        </w:rPr>
      </w:pPr>
    </w:p>
    <w:p w14:paraId="28BC1960" w14:textId="77777777" w:rsidR="00D607AE" w:rsidRDefault="00D607AE">
      <w:pPr>
        <w:spacing w:after="0"/>
        <w:rPr>
          <w:rFonts w:ascii="Calibri-BoldItalic" w:hAnsi="Calibri-BoldItalic" w:cs="Calibri-BoldItalic"/>
          <w:b/>
          <w:szCs w:val="24"/>
        </w:rPr>
      </w:pPr>
    </w:p>
    <w:p w14:paraId="53262FD8" w14:textId="77777777" w:rsidR="00D607AE" w:rsidRDefault="00D607AE">
      <w:pPr>
        <w:jc w:val="center"/>
        <w:rPr>
          <w:b/>
          <w:caps/>
          <w:szCs w:val="24"/>
        </w:rPr>
      </w:pPr>
    </w:p>
    <w:p w14:paraId="7B06659B" w14:textId="77777777" w:rsidR="00D607AE" w:rsidRDefault="00002F67">
      <w:pPr>
        <w:spacing w:before="240" w:line="276" w:lineRule="auto"/>
        <w:jc w:val="center"/>
        <w:rPr>
          <w:b/>
          <w:caps/>
          <w:szCs w:val="24"/>
        </w:rPr>
      </w:pPr>
      <w:r>
        <w:rPr>
          <w:b/>
          <w:caps/>
          <w:szCs w:val="24"/>
        </w:rPr>
        <w:t>CROWN COMMERCIAL SERVICE</w:t>
      </w:r>
    </w:p>
    <w:p w14:paraId="3F74D9FA" w14:textId="77777777" w:rsidR="00D607AE" w:rsidRDefault="00002F67">
      <w:pPr>
        <w:spacing w:before="240" w:line="276" w:lineRule="auto"/>
        <w:jc w:val="center"/>
        <w:rPr>
          <w:b/>
          <w:caps/>
          <w:szCs w:val="24"/>
        </w:rPr>
      </w:pPr>
      <w:r>
        <w:rPr>
          <w:b/>
          <w:caps/>
          <w:szCs w:val="24"/>
        </w:rPr>
        <w:t>AND</w:t>
      </w:r>
    </w:p>
    <w:p w14:paraId="00DB309A" w14:textId="77777777" w:rsidR="00D607AE" w:rsidRDefault="00002F67">
      <w:pPr>
        <w:spacing w:before="240" w:line="276" w:lineRule="auto"/>
        <w:jc w:val="center"/>
        <w:rPr>
          <w:b/>
          <w:caps/>
          <w:szCs w:val="24"/>
        </w:rPr>
      </w:pPr>
      <w:r>
        <w:rPr>
          <w:b/>
          <w:caps/>
          <w:szCs w:val="24"/>
        </w:rPr>
        <w:t>SUPPLIER</w:t>
      </w:r>
    </w:p>
    <w:p w14:paraId="73E4432F" w14:textId="77777777" w:rsidR="00A6787E" w:rsidRDefault="00A6787E" w:rsidP="00A6787E">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14:paraId="16F2479B" w14:textId="77777777" w:rsidR="00A6787E" w:rsidRDefault="00A6787E" w:rsidP="00A6787E">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14:paraId="2A7D6C80" w14:textId="128AAE91" w:rsidR="00D607AE" w:rsidRDefault="00002F67">
      <w:pPr>
        <w:spacing w:before="240" w:line="276" w:lineRule="auto"/>
        <w:jc w:val="center"/>
        <w:rPr>
          <w:b/>
          <w:caps/>
          <w:szCs w:val="24"/>
        </w:rPr>
      </w:pPr>
      <w:r>
        <w:rPr>
          <w:b/>
          <w:caps/>
          <w:szCs w:val="24"/>
        </w:rPr>
        <w:t xml:space="preserve">REF: </w:t>
      </w:r>
      <w:r w:rsidR="00A930DA">
        <w:rPr>
          <w:b/>
          <w:caps/>
          <w:szCs w:val="24"/>
        </w:rPr>
        <w:t>RM6089</w:t>
      </w:r>
    </w:p>
    <w:p w14:paraId="3DAA2BBB" w14:textId="77777777" w:rsidR="00D607AE" w:rsidRDefault="00D607AE">
      <w:pPr>
        <w:spacing w:after="0"/>
        <w:rPr>
          <w:b/>
          <w:sz w:val="20"/>
          <w:szCs w:val="24"/>
        </w:rPr>
      </w:pPr>
    </w:p>
    <w:p w14:paraId="445C703D" w14:textId="77777777" w:rsidR="00D607AE" w:rsidRDefault="00D607AE">
      <w:pPr>
        <w:spacing w:after="0"/>
        <w:rPr>
          <w:b/>
          <w:sz w:val="20"/>
          <w:szCs w:val="24"/>
        </w:rPr>
      </w:pPr>
    </w:p>
    <w:p w14:paraId="294A9CB1" w14:textId="77777777" w:rsidR="00D607AE" w:rsidRDefault="00D607AE">
      <w:pPr>
        <w:rPr>
          <w:sz w:val="20"/>
          <w:szCs w:val="24"/>
        </w:rPr>
      </w:pPr>
    </w:p>
    <w:p w14:paraId="2E6A058C" w14:textId="77777777" w:rsidR="00D607AE" w:rsidRDefault="00D607AE">
      <w:pPr>
        <w:rPr>
          <w:sz w:val="20"/>
          <w:szCs w:val="24"/>
        </w:rPr>
      </w:pPr>
    </w:p>
    <w:p w14:paraId="34639E22" w14:textId="77777777" w:rsidR="00D607AE" w:rsidRDefault="00D607AE">
      <w:pPr>
        <w:rPr>
          <w:sz w:val="20"/>
          <w:szCs w:val="24"/>
        </w:rPr>
      </w:pPr>
    </w:p>
    <w:p w14:paraId="6CB642C2" w14:textId="77777777" w:rsidR="00D607AE" w:rsidRDefault="00D607AE">
      <w:pPr>
        <w:spacing w:after="0"/>
        <w:rPr>
          <w:sz w:val="20"/>
          <w:szCs w:val="24"/>
        </w:rPr>
      </w:pPr>
    </w:p>
    <w:p w14:paraId="272C0676" w14:textId="77777777" w:rsidR="00D607AE" w:rsidRDefault="00D607AE">
      <w:pPr>
        <w:spacing w:after="0"/>
        <w:rPr>
          <w:sz w:val="20"/>
          <w:szCs w:val="24"/>
        </w:rPr>
      </w:pPr>
    </w:p>
    <w:p w14:paraId="5F00AB9E" w14:textId="77777777" w:rsidR="00D607AE" w:rsidRDefault="00D607AE">
      <w:pPr>
        <w:spacing w:after="0"/>
        <w:rPr>
          <w:sz w:val="20"/>
          <w:szCs w:val="24"/>
        </w:rPr>
      </w:pPr>
    </w:p>
    <w:p w14:paraId="37C4A291" w14:textId="77777777" w:rsidR="00D607AE" w:rsidRDefault="00002F67">
      <w:pPr>
        <w:tabs>
          <w:tab w:val="left" w:pos="2810"/>
        </w:tabs>
        <w:spacing w:after="0"/>
        <w:rPr>
          <w:sz w:val="20"/>
          <w:szCs w:val="24"/>
        </w:rPr>
      </w:pPr>
      <w:r>
        <w:rPr>
          <w:sz w:val="20"/>
          <w:szCs w:val="24"/>
        </w:rPr>
        <w:tab/>
      </w:r>
    </w:p>
    <w:p w14:paraId="0D9D6A2C" w14:textId="77777777" w:rsidR="00D607AE" w:rsidRDefault="00D607AE">
      <w:pPr>
        <w:spacing w:after="0"/>
        <w:rPr>
          <w:sz w:val="20"/>
          <w:szCs w:val="24"/>
        </w:rPr>
      </w:pPr>
    </w:p>
    <w:p w14:paraId="6AFED720" w14:textId="77777777" w:rsidR="00D607AE" w:rsidRDefault="00D607AE">
      <w:pPr>
        <w:rPr>
          <w:sz w:val="20"/>
          <w:szCs w:val="24"/>
        </w:rPr>
      </w:pPr>
    </w:p>
    <w:p w14:paraId="4D8FC8DB" w14:textId="77777777" w:rsidR="00D607AE" w:rsidRDefault="00D607AE">
      <w:pPr>
        <w:rPr>
          <w:sz w:val="20"/>
          <w:szCs w:val="24"/>
        </w:rPr>
      </w:pPr>
    </w:p>
    <w:p w14:paraId="2019587F" w14:textId="77777777" w:rsidR="00D607AE" w:rsidRDefault="00D607AE">
      <w:pPr>
        <w:rPr>
          <w:sz w:val="20"/>
          <w:szCs w:val="24"/>
        </w:rPr>
      </w:pPr>
    </w:p>
    <w:p w14:paraId="0764B8F0" w14:textId="77777777" w:rsidR="00D607AE" w:rsidRDefault="00D607AE">
      <w:pPr>
        <w:rPr>
          <w:sz w:val="20"/>
          <w:szCs w:val="24"/>
        </w:rPr>
      </w:pPr>
    </w:p>
    <w:p w14:paraId="3E177686" w14:textId="77777777" w:rsidR="00D607AE" w:rsidRDefault="00D607AE">
      <w:pPr>
        <w:rPr>
          <w:sz w:val="20"/>
          <w:szCs w:val="24"/>
        </w:rPr>
      </w:pPr>
    </w:p>
    <w:p w14:paraId="252ADA62" w14:textId="77777777" w:rsidR="00D607AE" w:rsidRDefault="00D607AE">
      <w:pPr>
        <w:rPr>
          <w:sz w:val="20"/>
          <w:szCs w:val="24"/>
        </w:rPr>
      </w:pPr>
    </w:p>
    <w:p w14:paraId="7808A40F" w14:textId="77777777" w:rsidR="00D607AE" w:rsidRDefault="00D607AE">
      <w:pPr>
        <w:rPr>
          <w:sz w:val="20"/>
          <w:szCs w:val="24"/>
        </w:rPr>
      </w:pPr>
    </w:p>
    <w:p w14:paraId="7E8AD812" w14:textId="77777777" w:rsidR="00D607AE" w:rsidRDefault="00D607AE">
      <w:pPr>
        <w:rPr>
          <w:sz w:val="20"/>
          <w:szCs w:val="24"/>
        </w:rPr>
      </w:pPr>
    </w:p>
    <w:p w14:paraId="2F9017DC" w14:textId="77777777" w:rsidR="00D607AE" w:rsidRDefault="00D607AE">
      <w:pPr>
        <w:rPr>
          <w:sz w:val="20"/>
          <w:szCs w:val="24"/>
        </w:rPr>
      </w:pPr>
    </w:p>
    <w:p w14:paraId="45F02D5C" w14:textId="77777777" w:rsidR="00D607AE" w:rsidRDefault="00D607AE">
      <w:pPr>
        <w:rPr>
          <w:sz w:val="20"/>
          <w:szCs w:val="24"/>
        </w:rPr>
      </w:pPr>
    </w:p>
    <w:p w14:paraId="2A09057B" w14:textId="77777777" w:rsidR="00D607AE" w:rsidRDefault="00D607AE">
      <w:pPr>
        <w:rPr>
          <w:sz w:val="20"/>
          <w:szCs w:val="24"/>
        </w:rPr>
      </w:pPr>
    </w:p>
    <w:p w14:paraId="3723F81B" w14:textId="77777777" w:rsidR="00D607AE" w:rsidRDefault="00D607AE">
      <w:pPr>
        <w:spacing w:after="0"/>
        <w:rPr>
          <w:sz w:val="20"/>
          <w:szCs w:val="24"/>
        </w:rPr>
      </w:pPr>
    </w:p>
    <w:p w14:paraId="79F1F507" w14:textId="77777777" w:rsidR="00D607AE" w:rsidRDefault="00D607AE">
      <w:pPr>
        <w:spacing w:after="0"/>
        <w:rPr>
          <w:sz w:val="20"/>
          <w:szCs w:val="24"/>
        </w:rPr>
      </w:pPr>
    </w:p>
    <w:p w14:paraId="525209D9" w14:textId="77777777" w:rsidR="00D607AE" w:rsidRDefault="00D607AE">
      <w:pPr>
        <w:spacing w:after="0"/>
        <w:rPr>
          <w:sz w:val="20"/>
          <w:szCs w:val="24"/>
        </w:rPr>
      </w:pPr>
    </w:p>
    <w:p w14:paraId="3050B0DC" w14:textId="77777777" w:rsidR="00D607AE" w:rsidRDefault="00D607AE">
      <w:pPr>
        <w:spacing w:after="0"/>
        <w:ind w:firstLine="720"/>
        <w:rPr>
          <w:sz w:val="20"/>
          <w:szCs w:val="24"/>
        </w:rPr>
      </w:pPr>
    </w:p>
    <w:p w14:paraId="229DB866" w14:textId="77777777" w:rsidR="00D607AE" w:rsidRDefault="00002F67">
      <w:pPr>
        <w:spacing w:after="0"/>
        <w:rPr>
          <w:sz w:val="20"/>
          <w:szCs w:val="24"/>
        </w:rPr>
      </w:pPr>
      <w:r>
        <w:rPr>
          <w:sz w:val="20"/>
          <w:szCs w:val="24"/>
        </w:rPr>
        <w:br w:type="page"/>
      </w:r>
    </w:p>
    <w:p w14:paraId="17B7D7AE" w14:textId="77777777" w:rsidR="00D607AE" w:rsidRDefault="00D607AE">
      <w:pPr>
        <w:spacing w:after="0"/>
        <w:rPr>
          <w:b/>
          <w:szCs w:val="24"/>
        </w:rPr>
      </w:pPr>
    </w:p>
    <w:p w14:paraId="02D9F1A7" w14:textId="77777777" w:rsidR="00D607AE" w:rsidRDefault="00D607AE">
      <w:pPr>
        <w:spacing w:after="0"/>
        <w:rPr>
          <w:rFonts w:cs="Calibri-BoldItalic"/>
          <w:b/>
          <w:i/>
          <w:szCs w:val="24"/>
        </w:rPr>
      </w:pPr>
    </w:p>
    <w:p w14:paraId="7E18330F" w14:textId="77777777" w:rsidR="00D607AE" w:rsidRDefault="00002F67">
      <w:pPr>
        <w:rPr>
          <w:b/>
          <w:i/>
          <w:szCs w:val="24"/>
          <w:highlight w:val="yellow"/>
        </w:rPr>
      </w:pPr>
      <w:r>
        <w:rPr>
          <w:b/>
          <w:i/>
          <w:szCs w:val="24"/>
          <w:highlight w:val="yellow"/>
        </w:rPr>
        <w:t>[Guidance note: 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016BCAC7" w14:textId="77777777" w:rsidR="00D607AE" w:rsidRDefault="00002F67">
      <w:pPr>
        <w:rPr>
          <w:b/>
          <w:i/>
          <w:szCs w:val="24"/>
          <w:highlight w:val="yellow"/>
        </w:rPr>
      </w:pPr>
      <w:r>
        <w:rPr>
          <w:b/>
          <w:i/>
          <w:szCs w:val="24"/>
          <w:highlight w:val="yellow"/>
        </w:rPr>
        <w:t>If there is a staff transfer from the Buyer on entry (1st generation) then Part A shall apply.</w:t>
      </w:r>
    </w:p>
    <w:p w14:paraId="1F4EF64F" w14:textId="77777777" w:rsidR="00D607AE" w:rsidRDefault="00002F67">
      <w:pPr>
        <w:rPr>
          <w:b/>
          <w:i/>
          <w:szCs w:val="24"/>
          <w:highlight w:val="yellow"/>
        </w:rPr>
      </w:pPr>
      <w:r>
        <w:rPr>
          <w:b/>
          <w:i/>
          <w:szCs w:val="24"/>
          <w:highlight w:val="yellow"/>
        </w:rPr>
        <w:t>If there is a staff transfer from former/incumbent supplier on entry (2nd generation), Part B shall apply.</w:t>
      </w:r>
    </w:p>
    <w:p w14:paraId="334BE927" w14:textId="77777777" w:rsidR="00D607AE" w:rsidRDefault="00002F67">
      <w:pPr>
        <w:rPr>
          <w:b/>
          <w:i/>
          <w:szCs w:val="24"/>
          <w:highlight w:val="yellow"/>
        </w:rPr>
      </w:pPr>
      <w:r>
        <w:rPr>
          <w:b/>
          <w:i/>
          <w:szCs w:val="24"/>
          <w:highlight w:val="yellow"/>
        </w:rPr>
        <w:t>If there is both a 1st and 2nd generation staff transfer on entry, then both Part A and Part B shall apply.</w:t>
      </w:r>
    </w:p>
    <w:p w14:paraId="023C41D8" w14:textId="675BFCE3" w:rsidR="00D607AE" w:rsidRDefault="00002F67">
      <w:pPr>
        <w:rPr>
          <w:b/>
          <w:i/>
          <w:szCs w:val="24"/>
          <w:highlight w:val="yellow"/>
        </w:rPr>
      </w:pPr>
      <w:r>
        <w:rPr>
          <w:b/>
          <w:i/>
          <w:szCs w:val="24"/>
          <w:highlight w:val="yellow"/>
        </w:rPr>
        <w:t>If either Part A and/or Part B apply, then consider whether Part D (Pensions) shall apply and the Buyer shall indicate on the Order which Annex shall apply (either D1</w:t>
      </w:r>
      <w:r w:rsidR="000033D7">
        <w:rPr>
          <w:b/>
          <w:i/>
          <w:szCs w:val="24"/>
          <w:highlight w:val="yellow"/>
        </w:rPr>
        <w:t>a</w:t>
      </w:r>
      <w:r>
        <w:rPr>
          <w:b/>
          <w:i/>
          <w:szCs w:val="24"/>
          <w:highlight w:val="yellow"/>
        </w:rPr>
        <w:t xml:space="preserve"> (CSPS)</w:t>
      </w:r>
      <w:r w:rsidR="000033D7">
        <w:rPr>
          <w:b/>
          <w:i/>
          <w:szCs w:val="24"/>
          <w:highlight w:val="yellow"/>
        </w:rPr>
        <w:t xml:space="preserve"> or D1b (MOD)</w:t>
      </w:r>
      <w:r>
        <w:rPr>
          <w:b/>
          <w:i/>
          <w:szCs w:val="24"/>
          <w:highlight w:val="yellow"/>
        </w:rPr>
        <w:t>, D2 (NHSPS), or D3 (LGPS)). Part D pensions may also apply where there is not a TUPE transfer for example where the incumbent provider is successful.</w:t>
      </w:r>
      <w:r>
        <w:rPr>
          <w:b/>
          <w:i/>
          <w:szCs w:val="24"/>
          <w:highlight w:val="yellow"/>
          <w:u w:val="single"/>
        </w:rPr>
        <w:t xml:space="preserve">  </w:t>
      </w:r>
    </w:p>
    <w:p w14:paraId="5CB6ADEE" w14:textId="77777777" w:rsidR="00D607AE" w:rsidRDefault="00002F67">
      <w:pPr>
        <w:rPr>
          <w:b/>
          <w:i/>
          <w:szCs w:val="24"/>
          <w:highlight w:val="yellow"/>
        </w:rPr>
      </w:pPr>
      <w:r>
        <w:rPr>
          <w:b/>
          <w:i/>
          <w:szCs w:val="24"/>
          <w:highlight w:val="yellow"/>
        </w:rPr>
        <w:t>If there is no staff transfer (either 1st generation or 2nd generation) at the Start Date then Part C shall apply and Part D pensions may also apply where there is not a TUPE transfer for example where the incumbent provider is successful.</w:t>
      </w:r>
    </w:p>
    <w:p w14:paraId="673B7D55" w14:textId="77777777" w:rsidR="00D607AE" w:rsidRDefault="00002F67">
      <w:pPr>
        <w:rPr>
          <w:b/>
          <w:i/>
          <w:szCs w:val="24"/>
          <w:highlight w:val="yellow"/>
        </w:rPr>
      </w:pPr>
      <w:r>
        <w:rPr>
          <w:b/>
          <w:i/>
          <w:szCs w:val="24"/>
          <w:highlight w:val="yellow"/>
        </w:rPr>
        <w:t>If the position on staff transfers is not known at the bid stage, include Parts A, B, C and D at the bid stage and then update the Buyer Contract Details before signing to specify whether Parts A and/or B, or C and D apply to the Contract.</w:t>
      </w:r>
    </w:p>
    <w:p w14:paraId="70441452" w14:textId="77777777" w:rsidR="00D607AE" w:rsidRDefault="00002F67">
      <w:pPr>
        <w:rPr>
          <w:b/>
          <w:i/>
          <w:szCs w:val="24"/>
          <w:highlight w:val="yellow"/>
        </w:rPr>
      </w:pPr>
      <w:r>
        <w:rPr>
          <w:b/>
          <w:i/>
          <w:szCs w:val="24"/>
          <w:highlight w:val="yellow"/>
        </w:rPr>
        <w:t>Part E (dealing with staff transfer on exit) shall apply to every Contract.]</w:t>
      </w:r>
    </w:p>
    <w:p w14:paraId="7ECC83F3" w14:textId="77777777" w:rsidR="00D607AE" w:rsidRDefault="00D607AE">
      <w:pPr>
        <w:rPr>
          <w:b/>
          <w:i/>
          <w:szCs w:val="24"/>
        </w:rPr>
      </w:pPr>
    </w:p>
    <w:p w14:paraId="06EEEC5B" w14:textId="77777777" w:rsidR="00D607AE" w:rsidRDefault="00002F67">
      <w:pPr>
        <w:pStyle w:val="GPSSchTitleandNumber"/>
        <w:rPr>
          <w:rFonts w:ascii="Calibri" w:hAnsi="Calibri"/>
          <w:szCs w:val="24"/>
        </w:rPr>
      </w:pPr>
      <w:r>
        <w:rPr>
          <w:rFonts w:ascii="Calibri" w:eastAsia="Times New Roman" w:hAnsi="Calibri"/>
          <w:szCs w:val="24"/>
        </w:rPr>
        <w:br w:type="page"/>
      </w:r>
      <w:r>
        <w:rPr>
          <w:rFonts w:ascii="Calibri" w:hAnsi="Calibri"/>
          <w:szCs w:val="24"/>
        </w:rPr>
        <w:lastRenderedPageBreak/>
        <w:t>CALL</w:t>
      </w:r>
      <w:r>
        <w:rPr>
          <w:rFonts w:ascii="Calibri" w:hAnsi="Calibri"/>
          <w:szCs w:val="24"/>
        </w:rPr>
        <w:noBreakHyphen/>
        <w:t>OFF SCHEDULE 2</w:t>
      </w:r>
    </w:p>
    <w:p w14:paraId="16EE01E7" w14:textId="77777777" w:rsidR="00D607AE" w:rsidRDefault="00002F67">
      <w:pPr>
        <w:pStyle w:val="GPSSchTitleandNumber"/>
        <w:rPr>
          <w:rFonts w:ascii="Calibri" w:hAnsi="Calibri"/>
          <w:szCs w:val="24"/>
        </w:rPr>
      </w:pPr>
      <w:r>
        <w:rPr>
          <w:rFonts w:ascii="Calibri" w:hAnsi="Calibri"/>
          <w:szCs w:val="24"/>
        </w:rPr>
        <w:t>STAFF TRANSFER</w:t>
      </w:r>
    </w:p>
    <w:p w14:paraId="43CBC027" w14:textId="77777777" w:rsidR="00D607AE" w:rsidRDefault="00002F67">
      <w:pPr>
        <w:pStyle w:val="ScheduleL1"/>
        <w:rPr>
          <w:szCs w:val="24"/>
        </w:rPr>
      </w:pPr>
      <w:r>
        <w:rPr>
          <w:szCs w:val="24"/>
        </w:rPr>
        <w:t>INTERPRETATION</w:t>
      </w:r>
    </w:p>
    <w:p w14:paraId="7A976BB6" w14:textId="77777777" w:rsidR="00D607AE" w:rsidRDefault="00002F67">
      <w:pPr>
        <w:ind w:left="357"/>
        <w:rPr>
          <w:rFonts w:eastAsia="STZhongsong"/>
          <w:b/>
          <w:spacing w:val="-3"/>
          <w:szCs w:val="24"/>
          <w:lang w:val="en-US"/>
        </w:rPr>
      </w:pPr>
      <w:r>
        <w:rPr>
          <w:rFonts w:eastAsia="STZhongsong"/>
          <w:spacing w:val="-3"/>
          <w:szCs w:val="24"/>
          <w:lang w:val="en-US"/>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the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1E0C1344" w14:textId="77777777" w:rsidR="00D607AE" w:rsidRDefault="00002F67">
      <w:pPr>
        <w:pStyle w:val="ScheduleL1"/>
        <w:rPr>
          <w:szCs w:val="24"/>
        </w:rPr>
      </w:pPr>
      <w:r>
        <w:rPr>
          <w:szCs w:val="24"/>
        </w:rPr>
        <w:t>APPLICATION OF THIS SCHEDULE</w:t>
      </w:r>
    </w:p>
    <w:p w14:paraId="504BCBC7" w14:textId="77777777" w:rsidR="00D607AE" w:rsidRDefault="00002F67">
      <w:pPr>
        <w:ind w:left="357"/>
        <w:rPr>
          <w:rFonts w:eastAsia="STZhongsong"/>
          <w:szCs w:val="24"/>
        </w:rPr>
      </w:pPr>
      <w:r>
        <w:rPr>
          <w:rFonts w:eastAsia="STZhongsong"/>
          <w:szCs w:val="24"/>
        </w:rPr>
        <w:t>The Parts of this Schedule which shall apply to the Contract are specified in the Buyer Contract Details.</w:t>
      </w:r>
    </w:p>
    <w:p w14:paraId="06D5745A" w14:textId="77777777" w:rsidR="00D607AE" w:rsidRDefault="00002F67">
      <w:pPr>
        <w:pStyle w:val="Heading1"/>
        <w:spacing w:after="240"/>
        <w:jc w:val="center"/>
        <w:rPr>
          <w:rFonts w:ascii="Calibri" w:eastAsia="STZhongsong" w:hAnsi="Calibri"/>
          <w:b/>
          <w:i w:val="0"/>
          <w:caps/>
          <w:sz w:val="22"/>
          <w:lang w:val="en-GB"/>
        </w:rPr>
      </w:pPr>
      <w:r>
        <w:rPr>
          <w:rFonts w:ascii="Calibri" w:eastAsia="STZhongsong" w:hAnsi="Calibri"/>
          <w:b/>
          <w:i w:val="0"/>
          <w:caps/>
          <w:sz w:val="22"/>
          <w:lang w:val="en-GB"/>
        </w:rPr>
        <w:br w:type="page"/>
      </w:r>
      <w:r>
        <w:rPr>
          <w:rFonts w:ascii="Calibri" w:eastAsia="STZhongsong" w:hAnsi="Calibri"/>
          <w:b/>
          <w:i w:val="0"/>
          <w:caps/>
          <w:sz w:val="22"/>
          <w:lang w:val="en-GB"/>
        </w:rPr>
        <w:lastRenderedPageBreak/>
        <w:t>PART A: STAFF TRANSFER AT START DATE – OUTSOURCING FROM THE BUYER (OPTIONAL)</w:t>
      </w:r>
    </w:p>
    <w:p w14:paraId="45DD591E" w14:textId="77777777" w:rsidR="00D607AE" w:rsidRDefault="00002F67">
      <w:pPr>
        <w:pStyle w:val="ScheduleL1"/>
        <w:numPr>
          <w:ilvl w:val="0"/>
          <w:numId w:val="18"/>
        </w:numPr>
        <w:tabs>
          <w:tab w:val="clear" w:pos="720"/>
        </w:tabs>
        <w:ind w:left="357" w:hanging="357"/>
        <w:rPr>
          <w:szCs w:val="24"/>
        </w:rPr>
      </w:pPr>
      <w:bookmarkStart w:id="0" w:name="_Ref311726437"/>
      <w:r>
        <w:rPr>
          <w:szCs w:val="24"/>
        </w:rPr>
        <w:t>RELEVANT TRANSFERS</w:t>
      </w:r>
    </w:p>
    <w:p w14:paraId="57B0A51F" w14:textId="77777777" w:rsidR="00D607AE" w:rsidRDefault="00002F67">
      <w:pPr>
        <w:pStyle w:val="ScheduleL2"/>
        <w:keepNext/>
        <w:rPr>
          <w:szCs w:val="24"/>
        </w:rPr>
      </w:pPr>
      <w:r>
        <w:rPr>
          <w:szCs w:val="24"/>
        </w:rPr>
        <w:t>The Buyer and the Supplier agree that:</w:t>
      </w:r>
    </w:p>
    <w:p w14:paraId="2EBB6C35" w14:textId="77777777" w:rsidR="00D607AE" w:rsidRDefault="00002F67">
      <w:pPr>
        <w:pStyle w:val="ScheduleL3"/>
        <w:rPr>
          <w:szCs w:val="24"/>
        </w:rPr>
      </w:pPr>
      <w:r>
        <w:rPr>
          <w:szCs w:val="24"/>
        </w:rPr>
        <w:t>the commencement of the provision of the Services or of each relevant part of the Services will be a Relevant Transfer in relation to the Transferring Buyer Employees; and</w:t>
      </w:r>
    </w:p>
    <w:p w14:paraId="6732EDD7" w14:textId="77777777" w:rsidR="00D607AE" w:rsidRDefault="00002F67">
      <w:pPr>
        <w:pStyle w:val="ScheduleL3"/>
        <w:rPr>
          <w:szCs w:val="24"/>
        </w:rPr>
      </w:pPr>
      <w:r>
        <w:rPr>
          <w:szCs w:val="24"/>
        </w:rPr>
        <w:t xml:space="preserve">as a result of the operation of the Employment Regulations, the contracts of employment between the Buyer and the Transferring Buyer Employees (except in relation to any terms </w:t>
      </w:r>
      <w:proofErr w:type="spellStart"/>
      <w:r>
        <w:rPr>
          <w:szCs w:val="24"/>
        </w:rPr>
        <w:t>disapplied</w:t>
      </w:r>
      <w:proofErr w:type="spellEnd"/>
      <w:r>
        <w:rPr>
          <w:szCs w:val="24"/>
        </w:rPr>
        <w:t xml:space="preserve"> through operation of regulation 10(2) of the Employment Regulations) will have effect on and from the Relevant Transfer Date as if originally made between the Supplier and/or any Subcontractor and each such Transferring Buyer Employee.</w:t>
      </w:r>
      <w:bookmarkEnd w:id="0"/>
    </w:p>
    <w:p w14:paraId="27DB40FA" w14:textId="77777777" w:rsidR="00D607AE" w:rsidRDefault="00002F67">
      <w:pPr>
        <w:pStyle w:val="ScheduleL2"/>
        <w:rPr>
          <w:szCs w:val="24"/>
        </w:rPr>
      </w:pPr>
      <w:r>
        <w:rPr>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14:paraId="21587191" w14:textId="77777777" w:rsidR="00D607AE" w:rsidRDefault="00002F67">
      <w:pPr>
        <w:pStyle w:val="ScheduleL1"/>
        <w:rPr>
          <w:szCs w:val="24"/>
        </w:rPr>
      </w:pPr>
      <w:bookmarkStart w:id="1" w:name="_Ref346027802"/>
      <w:r>
        <w:rPr>
          <w:szCs w:val="24"/>
        </w:rPr>
        <w:t>BUYER INDEMNITIES</w:t>
      </w:r>
    </w:p>
    <w:p w14:paraId="59098ABC" w14:textId="358CCD3A" w:rsidR="00D607AE" w:rsidRDefault="00002F67">
      <w:pPr>
        <w:pStyle w:val="ScheduleL2"/>
        <w:rPr>
          <w:szCs w:val="24"/>
        </w:rPr>
      </w:pPr>
      <w:bookmarkStart w:id="2" w:name="_Ref450733229"/>
      <w:r>
        <w:rPr>
          <w:szCs w:val="24"/>
        </w:rPr>
        <w:t xml:space="preserve">Subject to Paragraph 2.2, the Buyer shall indemnify the Supplier and any Subcontractor against any Employee Liabilities arising from or as a result of </w:t>
      </w:r>
      <w:bookmarkStart w:id="3" w:name="_Ref346026850"/>
      <w:bookmarkEnd w:id="1"/>
      <w:bookmarkEnd w:id="2"/>
      <w:r>
        <w:rPr>
          <w:szCs w:val="24"/>
        </w:rPr>
        <w:t xml:space="preserve">any act or omission by the </w:t>
      </w:r>
      <w:r w:rsidR="00A84B58">
        <w:rPr>
          <w:szCs w:val="24"/>
        </w:rPr>
        <w:t>Buyer</w:t>
      </w:r>
      <w:r>
        <w:rPr>
          <w:szCs w:val="24"/>
        </w:rPr>
        <w:t xml:space="preserve"> in respect of any Transferring Buyer Employee or any appropriate employee representative (as defined in the Employment Regulations) of any Transferring Buyer Employee occurring before the Relevant Transfer Date. </w:t>
      </w:r>
      <w:bookmarkEnd w:id="3"/>
    </w:p>
    <w:p w14:paraId="5E1C3DF0" w14:textId="77777777" w:rsidR="00D607AE" w:rsidRDefault="00002F67">
      <w:pPr>
        <w:pStyle w:val="ScheduleL2"/>
        <w:rPr>
          <w:szCs w:val="24"/>
        </w:rPr>
      </w:pPr>
      <w:bookmarkStart w:id="4" w:name="_Ref450733204"/>
      <w:bookmarkStart w:id="5" w:name="_Ref346027651"/>
      <w:bookmarkStart w:id="6" w:name="_Ref311742432"/>
      <w:r>
        <w:rPr>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bookmarkEnd w:id="4"/>
    </w:p>
    <w:p w14:paraId="7C8112C0" w14:textId="77777777" w:rsidR="00D607AE" w:rsidRDefault="00002F67">
      <w:pPr>
        <w:pStyle w:val="ScheduleL2"/>
        <w:keepNext/>
        <w:rPr>
          <w:szCs w:val="24"/>
        </w:rPr>
      </w:pPr>
      <w:bookmarkStart w:id="7" w:name="_Ref358278449"/>
      <w:bookmarkStart w:id="8" w:name="_Ref492661230"/>
      <w:bookmarkEnd w:id="5"/>
      <w:r>
        <w:rPr>
          <w:szCs w:val="24"/>
        </w:rPr>
        <w:t xml:space="preserve">Subject to Paragraphs 2.4 and 2.5,  if any employee of the Buyer who is not identified as a Transferring Buyer Employee claims, or it is determined in relation to any employees of the Buyer, that his/her contract of employment has been transferred from the Buyer to the Supplier and/or any Subcontractor pursuant to the Employment Regulations then </w:t>
      </w:r>
      <w:bookmarkStart w:id="9" w:name="_Ref358299281"/>
      <w:bookmarkEnd w:id="6"/>
      <w:bookmarkEnd w:id="7"/>
      <w:bookmarkEnd w:id="8"/>
      <w:r>
        <w:rPr>
          <w:szCs w:val="24"/>
        </w:rPr>
        <w:t>-</w:t>
      </w:r>
    </w:p>
    <w:p w14:paraId="7EB94589" w14:textId="77777777" w:rsidR="00D607AE" w:rsidRDefault="00002F67">
      <w:pPr>
        <w:pStyle w:val="ScheduleL3"/>
        <w:rPr>
          <w:szCs w:val="24"/>
        </w:rPr>
      </w:pPr>
      <w:bookmarkStart w:id="10" w:name="_Ref492895814"/>
      <w:r>
        <w:rPr>
          <w:szCs w:val="24"/>
        </w:rPr>
        <w:t>the Supplier will, within 5 Working Days of becoming aware of that fact, notify the Buyer in writing;</w:t>
      </w:r>
      <w:bookmarkEnd w:id="10"/>
    </w:p>
    <w:p w14:paraId="24AD874A" w14:textId="77777777" w:rsidR="00D607AE" w:rsidRDefault="00002F67">
      <w:pPr>
        <w:pStyle w:val="ScheduleL3"/>
        <w:rPr>
          <w:szCs w:val="24"/>
        </w:rPr>
      </w:pPr>
      <w:bookmarkStart w:id="11" w:name="_Ref492661004"/>
      <w:r>
        <w:rPr>
          <w:szCs w:val="24"/>
        </w:rPr>
        <w:t>the Buyer may offer employment to such person, or take such other steps as it considers appropriate to resolve the matter, within 10 Working Days of receipt of notice from the Supplier;</w:t>
      </w:r>
      <w:bookmarkEnd w:id="11"/>
    </w:p>
    <w:p w14:paraId="302BF8BA" w14:textId="77777777" w:rsidR="00D607AE" w:rsidRDefault="00002F67">
      <w:pPr>
        <w:pStyle w:val="ScheduleL3"/>
        <w:rPr>
          <w:szCs w:val="24"/>
        </w:rPr>
      </w:pPr>
      <w:r>
        <w:rPr>
          <w:szCs w:val="24"/>
        </w:rPr>
        <w:t>if such offer of employment is accepted, the Supplier shall immediately release the person from its employment;</w:t>
      </w:r>
    </w:p>
    <w:p w14:paraId="21F1BF0E" w14:textId="77777777" w:rsidR="00D607AE" w:rsidRDefault="00002F67">
      <w:pPr>
        <w:pStyle w:val="ScheduleL3"/>
        <w:rPr>
          <w:szCs w:val="24"/>
        </w:rPr>
      </w:pPr>
      <w:bookmarkStart w:id="12" w:name="_Ref498680782"/>
      <w:r>
        <w:rPr>
          <w:szCs w:val="24"/>
        </w:rPr>
        <w:t>if after the period referred to in Paragraph 2.3.2 no such offer has been made, or such offer has been made but not accepted, the Supplier may within 5 Working Days give notice to terminate the employment of such person;</w:t>
      </w:r>
      <w:bookmarkEnd w:id="12"/>
    </w:p>
    <w:p w14:paraId="523B3A80" w14:textId="77777777" w:rsidR="00D607AE" w:rsidRDefault="00002F67">
      <w:pPr>
        <w:ind w:left="993"/>
        <w:rPr>
          <w:rFonts w:eastAsia="STZhongsong"/>
          <w:szCs w:val="24"/>
        </w:rPr>
      </w:pPr>
      <w:r>
        <w:rPr>
          <w:rFonts w:eastAsia="STZhongsong"/>
          <w:szCs w:val="24"/>
        </w:rPr>
        <w:t xml:space="preserve">and subject to the Supplier's compliance with Paragraphs 2.3.1 to 2.3.4 the Buyer will indemnify the Supplier and/or the relevant Subcontractor against all Employee Liabilities </w:t>
      </w:r>
      <w:r>
        <w:rPr>
          <w:rFonts w:eastAsia="STZhongsong"/>
          <w:szCs w:val="24"/>
        </w:rPr>
        <w:lastRenderedPageBreak/>
        <w:t xml:space="preserve">arising out of the termination of the employment of any of the Buyer's employees referred to in this Paragraph 2.3. </w:t>
      </w:r>
    </w:p>
    <w:p w14:paraId="4540261A" w14:textId="77777777" w:rsidR="00D607AE" w:rsidRDefault="00002F67">
      <w:pPr>
        <w:pStyle w:val="ScheduleL2"/>
        <w:keepNext/>
        <w:rPr>
          <w:szCs w:val="24"/>
        </w:rPr>
      </w:pPr>
      <w:bookmarkStart w:id="13" w:name="_Ref492660946"/>
      <w:r>
        <w:rPr>
          <w:szCs w:val="24"/>
        </w:rPr>
        <w:t>The indemnity in Paragraph 2.3 shall not apply to any claim:</w:t>
      </w:r>
      <w:bookmarkEnd w:id="13"/>
    </w:p>
    <w:p w14:paraId="490298F9" w14:textId="77777777" w:rsidR="00D607AE" w:rsidRDefault="00002F67">
      <w:pPr>
        <w:pStyle w:val="ScheduleL3"/>
        <w:rPr>
          <w:rFonts w:ascii="Times New Roman" w:hAnsi="Times New Roman"/>
          <w:szCs w:val="24"/>
        </w:rPr>
      </w:pPr>
      <w:r>
        <w:rPr>
          <w:szCs w:val="24"/>
        </w:rPr>
        <w:t xml:space="preserve">for discrimination, including on the grounds of sex, race, disability, age, gender reassignment, marriage or civil partnership, pregnancy and maternity or sexual orientation, religion or belief or </w:t>
      </w:r>
      <w:r>
        <w:rPr>
          <w:rFonts w:cs="Arial"/>
          <w:szCs w:val="24"/>
        </w:rPr>
        <w:t xml:space="preserve">equal pay or compensation for less favourable treatment of part-time workers or fixed-term employees </w:t>
      </w:r>
      <w:r>
        <w:rPr>
          <w:szCs w:val="24"/>
        </w:rPr>
        <w:t>in relation to any alleged act or omission of the Supplier and/or any Subcontractor</w:t>
      </w:r>
      <w:r>
        <w:rPr>
          <w:rFonts w:cs="Arial"/>
          <w:szCs w:val="24"/>
        </w:rPr>
        <w:t>; or</w:t>
      </w:r>
    </w:p>
    <w:p w14:paraId="03B36705" w14:textId="77777777" w:rsidR="00D607AE" w:rsidRDefault="00002F67">
      <w:pPr>
        <w:pStyle w:val="ScheduleL3"/>
        <w:rPr>
          <w:szCs w:val="24"/>
        </w:rPr>
      </w:pPr>
      <w:r>
        <w:rPr>
          <w:szCs w:val="24"/>
        </w:rPr>
        <w:t>(b)</w:t>
      </w:r>
      <w:r>
        <w:rPr>
          <w:szCs w:val="24"/>
        </w:rPr>
        <w:tab/>
      </w:r>
      <w:proofErr w:type="gramStart"/>
      <w:r>
        <w:rPr>
          <w:szCs w:val="24"/>
        </w:rPr>
        <w:t>any</w:t>
      </w:r>
      <w:proofErr w:type="gramEnd"/>
      <w:r>
        <w:rPr>
          <w:szCs w:val="24"/>
        </w:rPr>
        <w:t xml:space="preserve"> claim that the termination of employment was unfair because the Supplier and/or any Subcontractor neglected to follow a fair dismissal procedure.</w:t>
      </w:r>
    </w:p>
    <w:p w14:paraId="1483E723" w14:textId="77777777" w:rsidR="00D607AE" w:rsidRDefault="00002F67">
      <w:pPr>
        <w:pStyle w:val="ScheduleL2"/>
        <w:rPr>
          <w:szCs w:val="24"/>
        </w:rPr>
      </w:pPr>
      <w:bookmarkStart w:id="14" w:name="_Ref492660960"/>
      <w:bookmarkStart w:id="15" w:name="_Ref450733260"/>
      <w:bookmarkEnd w:id="9"/>
      <w:r>
        <w:rPr>
          <w:szCs w:val="24"/>
        </w:rPr>
        <w:t>The indemnity in Paragraph 2.3 shall not apply to any termination of employment occurring later than 3 Months from the Relevant Transfer Date.</w:t>
      </w:r>
      <w:bookmarkEnd w:id="14"/>
    </w:p>
    <w:p w14:paraId="2346E5A9" w14:textId="77777777" w:rsidR="00D607AE" w:rsidRDefault="00002F67">
      <w:pPr>
        <w:pStyle w:val="ScheduleL2"/>
        <w:rPr>
          <w:szCs w:val="24"/>
        </w:rPr>
      </w:pPr>
      <w:r>
        <w:rPr>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14:paraId="71E543DB" w14:textId="77777777" w:rsidR="00D607AE" w:rsidRDefault="00002F67">
      <w:pPr>
        <w:pStyle w:val="ScheduleL1"/>
        <w:rPr>
          <w:szCs w:val="24"/>
        </w:rPr>
      </w:pPr>
      <w:bookmarkStart w:id="16" w:name="_Ref358199754"/>
      <w:bookmarkEnd w:id="15"/>
      <w:r>
        <w:rPr>
          <w:szCs w:val="24"/>
        </w:rPr>
        <w:t>SUPPLIER INDEMNITIES AND OBLIGATIONS</w:t>
      </w:r>
    </w:p>
    <w:p w14:paraId="036922FF" w14:textId="77777777" w:rsidR="00D607AE" w:rsidRDefault="00002F67">
      <w:pPr>
        <w:pStyle w:val="ScheduleL2"/>
        <w:rPr>
          <w:szCs w:val="24"/>
        </w:rPr>
      </w:pPr>
      <w:bookmarkStart w:id="17" w:name="_Ref450733275"/>
      <w:r>
        <w:rPr>
          <w:szCs w:val="24"/>
        </w:rPr>
        <w:t>Subject to Paragraph 3.2, the Supplier shall indemnify the Buyer against any Employee Liabilities arising from or as a result of</w:t>
      </w:r>
      <w:bookmarkEnd w:id="16"/>
      <w:bookmarkEnd w:id="17"/>
      <w:r>
        <w:rPr>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14:paraId="73703C9E" w14:textId="77777777" w:rsidR="00D607AE" w:rsidRDefault="00002F67">
      <w:pPr>
        <w:pStyle w:val="ScheduleL2"/>
        <w:rPr>
          <w:szCs w:val="24"/>
        </w:rPr>
      </w:pPr>
      <w:bookmarkStart w:id="18" w:name="_Ref357684501"/>
      <w:bookmarkStart w:id="19" w:name="_Ref358278613"/>
      <w:r>
        <w:rPr>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8"/>
      <w:r>
        <w:rPr>
          <w:szCs w:val="24"/>
        </w:rPr>
        <w:t xml:space="preserve"> arising from the Buyer's failure to comply with its obligations under the Employment Regulations.</w:t>
      </w:r>
      <w:bookmarkEnd w:id="19"/>
    </w:p>
    <w:p w14:paraId="33D26B24" w14:textId="77777777" w:rsidR="00D607AE" w:rsidRDefault="00002F67">
      <w:pPr>
        <w:pStyle w:val="ScheduleL2"/>
        <w:rPr>
          <w:szCs w:val="24"/>
        </w:rPr>
      </w:pPr>
      <w:r>
        <w:rPr>
          <w:szCs w:val="24"/>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14:paraId="2A6513BB" w14:textId="77777777" w:rsidR="00D607AE" w:rsidRDefault="00002F67">
      <w:pPr>
        <w:pStyle w:val="ScheduleL1"/>
        <w:rPr>
          <w:szCs w:val="24"/>
        </w:rPr>
      </w:pPr>
      <w:r>
        <w:rPr>
          <w:szCs w:val="24"/>
        </w:rPr>
        <w:t>INFORMATION</w:t>
      </w:r>
    </w:p>
    <w:p w14:paraId="02B2A3A3" w14:textId="77777777" w:rsidR="00D607AE" w:rsidRDefault="00002F67">
      <w:pPr>
        <w:ind w:left="357"/>
        <w:rPr>
          <w:rFonts w:eastAsia="STZhongsong"/>
          <w:szCs w:val="24"/>
        </w:rPr>
      </w:pPr>
      <w:r>
        <w:rPr>
          <w:rFonts w:eastAsia="STZhongsong"/>
          <w:szCs w:val="24"/>
        </w:rPr>
        <w:t>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14:paraId="1A3C4842" w14:textId="77777777" w:rsidR="00D607AE" w:rsidRDefault="00002F67">
      <w:pPr>
        <w:pStyle w:val="ScheduleL1"/>
        <w:rPr>
          <w:szCs w:val="24"/>
        </w:rPr>
      </w:pPr>
      <w:r>
        <w:rPr>
          <w:szCs w:val="24"/>
        </w:rPr>
        <w:t>PRINCIPLES OF GOOD EMPLOYMENT PRACTICE</w:t>
      </w:r>
    </w:p>
    <w:p w14:paraId="15ACCD9E" w14:textId="77777777" w:rsidR="00D607AE" w:rsidRDefault="00002F67">
      <w:pPr>
        <w:pStyle w:val="ScheduleL2"/>
        <w:rPr>
          <w:szCs w:val="24"/>
        </w:rPr>
      </w:pPr>
      <w:bookmarkStart w:id="20" w:name="_Ref450733291"/>
      <w:r>
        <w:rPr>
          <w:szCs w:val="24"/>
        </w:rPr>
        <w:t xml:space="preserve">The Parties agree that the Principles of Good Employment Practice issued by the Cabinet Office in December 2010 apply to the treatment by the Supplier of employees whose </w:t>
      </w:r>
      <w:bookmarkStart w:id="21" w:name="_GoBack"/>
      <w:bookmarkEnd w:id="21"/>
      <w:r>
        <w:rPr>
          <w:szCs w:val="24"/>
        </w:rPr>
        <w:t xml:space="preserve">employment begins after the Relevant Transfer Date, and the Supplier undertakes to treat </w:t>
      </w:r>
      <w:r>
        <w:rPr>
          <w:szCs w:val="24"/>
        </w:rPr>
        <w:lastRenderedPageBreak/>
        <w:t>such employees in accordance with the provisions of the Principles of Good Employment Practice.</w:t>
      </w:r>
      <w:bookmarkEnd w:id="20"/>
    </w:p>
    <w:p w14:paraId="2158F560" w14:textId="77777777" w:rsidR="00D607AE" w:rsidRDefault="00002F67">
      <w:pPr>
        <w:pStyle w:val="ScheduleL2"/>
        <w:rPr>
          <w:szCs w:val="24"/>
        </w:rPr>
      </w:pPr>
      <w:bookmarkStart w:id="22" w:name="_Hlt283195311"/>
      <w:bookmarkStart w:id="23" w:name="_Hlt330487205"/>
      <w:bookmarkStart w:id="24" w:name="_Hlt331772441"/>
      <w:bookmarkStart w:id="25" w:name="_Hlt330487230"/>
      <w:bookmarkStart w:id="26" w:name="_Hlt305079896"/>
      <w:bookmarkStart w:id="27" w:name="_Ref450733298"/>
      <w:bookmarkEnd w:id="22"/>
      <w:bookmarkEnd w:id="23"/>
      <w:bookmarkEnd w:id="24"/>
      <w:bookmarkEnd w:id="25"/>
      <w:bookmarkEnd w:id="26"/>
      <w:r>
        <w:rPr>
          <w:szCs w:val="24"/>
        </w:rPr>
        <w:t>The Supplier shall comply with any requirement notified to it by the</w:t>
      </w:r>
      <w:r>
        <w:rPr>
          <w:rFonts w:cs="Arial"/>
          <w:szCs w:val="24"/>
        </w:rPr>
        <w:t xml:space="preserve"> Buyer </w:t>
      </w:r>
      <w:r>
        <w:rPr>
          <w:szCs w:val="24"/>
        </w:rPr>
        <w:t>relating to pensions in respect of any Transferring Buyer Employee as set down in</w:t>
      </w:r>
      <w:bookmarkEnd w:id="27"/>
      <w:r>
        <w:rPr>
          <w:szCs w:val="24"/>
        </w:rPr>
        <w:t xml:space="preserve"> (</w:t>
      </w:r>
      <w:proofErr w:type="spellStart"/>
      <w:r>
        <w:rPr>
          <w:szCs w:val="24"/>
        </w:rPr>
        <w:t>i</w:t>
      </w:r>
      <w:proofErr w:type="spellEnd"/>
      <w:r>
        <w:rPr>
          <w:szCs w:val="24"/>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6CCA2895" w14:textId="77777777" w:rsidR="00D607AE" w:rsidRDefault="00002F67">
      <w:pPr>
        <w:pStyle w:val="ScheduleL2"/>
        <w:rPr>
          <w:szCs w:val="24"/>
        </w:rPr>
      </w:pPr>
      <w:r>
        <w:rPr>
          <w:szCs w:val="24"/>
        </w:rPr>
        <w:t>Any changes embodied in any statement of practice, paper or other guidance that replaces any of the documentation referred to in Paragraphs 5.1 or 5.2 shall be agreed in accordance with the Variation Procedure.</w:t>
      </w:r>
    </w:p>
    <w:p w14:paraId="2283CBA0" w14:textId="77777777" w:rsidR="00D607AE" w:rsidRDefault="00002F67">
      <w:pPr>
        <w:pStyle w:val="ScheduleL1"/>
        <w:rPr>
          <w:szCs w:val="24"/>
        </w:rPr>
      </w:pPr>
      <w:r>
        <w:rPr>
          <w:szCs w:val="24"/>
        </w:rPr>
        <w:t>PENSIONS</w:t>
      </w:r>
    </w:p>
    <w:p w14:paraId="35277764" w14:textId="77777777" w:rsidR="00D607AE" w:rsidRDefault="00002F67">
      <w:pPr>
        <w:pStyle w:val="ScheduleL2"/>
        <w:keepNext/>
        <w:rPr>
          <w:szCs w:val="24"/>
        </w:rPr>
      </w:pPr>
      <w:r>
        <w:rPr>
          <w:szCs w:val="24"/>
        </w:rPr>
        <w:t>The Supplier shall comply with:</w:t>
      </w:r>
    </w:p>
    <w:p w14:paraId="461C0EFF" w14:textId="77777777" w:rsidR="00D607AE" w:rsidRDefault="00002F67">
      <w:pPr>
        <w:pStyle w:val="ScheduleL3"/>
        <w:rPr>
          <w:szCs w:val="24"/>
        </w:rPr>
      </w:pPr>
      <w:r>
        <w:rPr>
          <w:szCs w:val="24"/>
        </w:rPr>
        <w:t>all statutory pension obligations in respect of all Transferring Buyer Employees; and</w:t>
      </w:r>
    </w:p>
    <w:p w14:paraId="3D78140B" w14:textId="77777777" w:rsidR="00D607AE" w:rsidRDefault="00002F67">
      <w:pPr>
        <w:pStyle w:val="ScheduleL3"/>
        <w:rPr>
          <w:szCs w:val="24"/>
        </w:rPr>
      </w:pPr>
      <w:proofErr w:type="gramStart"/>
      <w:r>
        <w:rPr>
          <w:szCs w:val="24"/>
        </w:rPr>
        <w:t>the</w:t>
      </w:r>
      <w:proofErr w:type="gramEnd"/>
      <w:r>
        <w:rPr>
          <w:szCs w:val="24"/>
        </w:rPr>
        <w:t xml:space="preserve"> provisions in Part D: Pensions.</w:t>
      </w:r>
    </w:p>
    <w:p w14:paraId="42A5C7CE" w14:textId="77777777" w:rsidR="00D607AE" w:rsidRDefault="00002F67">
      <w:pPr>
        <w:pStyle w:val="Heading1"/>
        <w:keepNext w:val="0"/>
        <w:spacing w:after="240"/>
        <w:jc w:val="center"/>
        <w:rPr>
          <w:rFonts w:ascii="Calibri" w:eastAsia="STZhongsong" w:hAnsi="Calibri"/>
          <w:b/>
          <w:i w:val="0"/>
          <w:caps/>
          <w:sz w:val="22"/>
          <w:lang w:val="en-GB"/>
        </w:rPr>
      </w:pPr>
      <w:bookmarkStart w:id="28" w:name="_Ref450746708"/>
      <w:bookmarkStart w:id="29" w:name="_Ref311726534"/>
      <w:r>
        <w:rPr>
          <w:rFonts w:ascii="Calibri" w:eastAsia="STZhongsong" w:hAnsi="Calibri"/>
          <w:b/>
          <w:i w:val="0"/>
          <w:caps/>
          <w:sz w:val="22"/>
          <w:lang w:val="en-GB"/>
        </w:rPr>
        <w:br w:type="page"/>
      </w:r>
      <w:r>
        <w:rPr>
          <w:rFonts w:ascii="Calibri" w:eastAsia="STZhongsong" w:hAnsi="Calibri"/>
          <w:b/>
          <w:i w:val="0"/>
          <w:caps/>
          <w:sz w:val="22"/>
          <w:lang w:val="en-GB"/>
        </w:rPr>
        <w:lastRenderedPageBreak/>
        <w:t xml:space="preserve">PART B: </w:t>
      </w:r>
      <w:bookmarkEnd w:id="28"/>
      <w:r>
        <w:rPr>
          <w:rFonts w:ascii="Calibri" w:eastAsia="STZhongsong" w:hAnsi="Calibri"/>
          <w:b/>
          <w:i w:val="0"/>
          <w:caps/>
          <w:sz w:val="22"/>
          <w:lang w:val="en-GB"/>
        </w:rPr>
        <w:t>STAFF TRANSFER AT START DATE – TRANSFER FROM FORMER SUPPLIER ON REPROCUREMENT (OPTIONAL)</w:t>
      </w:r>
    </w:p>
    <w:p w14:paraId="6CEF138F" w14:textId="77777777" w:rsidR="00D607AE" w:rsidRDefault="00002F67">
      <w:pPr>
        <w:pStyle w:val="ScheduleL1"/>
        <w:numPr>
          <w:ilvl w:val="0"/>
          <w:numId w:val="19"/>
        </w:numPr>
        <w:tabs>
          <w:tab w:val="clear" w:pos="720"/>
        </w:tabs>
        <w:ind w:left="357" w:hanging="357"/>
        <w:rPr>
          <w:szCs w:val="24"/>
        </w:rPr>
      </w:pPr>
      <w:r>
        <w:rPr>
          <w:szCs w:val="24"/>
        </w:rPr>
        <w:t>RELEVANT TRANSFERS</w:t>
      </w:r>
    </w:p>
    <w:p w14:paraId="2ACE3A1B" w14:textId="77777777" w:rsidR="00D607AE" w:rsidRDefault="00002F67">
      <w:pPr>
        <w:pStyle w:val="ScheduleL2"/>
        <w:keepNext/>
        <w:rPr>
          <w:szCs w:val="24"/>
        </w:rPr>
      </w:pPr>
      <w:r>
        <w:rPr>
          <w:szCs w:val="24"/>
        </w:rPr>
        <w:t>The Buyer and the Supplier agree that:</w:t>
      </w:r>
    </w:p>
    <w:p w14:paraId="4497D9AD" w14:textId="77777777" w:rsidR="00D607AE" w:rsidRDefault="00002F67">
      <w:pPr>
        <w:pStyle w:val="ScheduleL3"/>
        <w:rPr>
          <w:szCs w:val="24"/>
        </w:rPr>
      </w:pPr>
      <w:r>
        <w:rPr>
          <w:szCs w:val="24"/>
        </w:rPr>
        <w:t xml:space="preserve">the commencement of the provision of the Services or of any relevant part of the Services will be a Relevant Transfer in relation to the Transferring Former Supplier Employees; and </w:t>
      </w:r>
    </w:p>
    <w:p w14:paraId="1086A0B6" w14:textId="77777777" w:rsidR="00D607AE" w:rsidRDefault="00002F67">
      <w:pPr>
        <w:pStyle w:val="ScheduleL3"/>
        <w:rPr>
          <w:szCs w:val="24"/>
        </w:rPr>
      </w:pPr>
      <w:r>
        <w:rPr>
          <w:szCs w:val="24"/>
        </w:rPr>
        <w:t xml:space="preserve">as a result of the operation of the Employment Regulations, the contracts of employment between each Former Supplier and the Transferring Former Supplier Employees (except in relation to any terms </w:t>
      </w:r>
      <w:proofErr w:type="spellStart"/>
      <w:r>
        <w:rPr>
          <w:szCs w:val="24"/>
        </w:rPr>
        <w:t>disapplied</w:t>
      </w:r>
      <w:proofErr w:type="spellEnd"/>
      <w:r>
        <w:rPr>
          <w:szCs w:val="24"/>
        </w:rPr>
        <w:t xml:space="preserve"> through the operation of regulation 10(2) of the Employment Regulations) shall have effect on and from the Relevant Transfer Date as if originally made between the Supplier and/or any Subcontractor and each such Transferring Former Supplier Employee.</w:t>
      </w:r>
      <w:bookmarkEnd w:id="29"/>
    </w:p>
    <w:p w14:paraId="17D017F3" w14:textId="77777777" w:rsidR="00D607AE" w:rsidRDefault="00002F67">
      <w:pPr>
        <w:pStyle w:val="ScheduleL2"/>
        <w:rPr>
          <w:szCs w:val="24"/>
        </w:rPr>
      </w:pPr>
      <w:bookmarkStart w:id="30" w:name="_Ref311726465"/>
      <w:r>
        <w:rPr>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1" w:name="_Ref321320538"/>
      <w:bookmarkEnd w:id="30"/>
    </w:p>
    <w:p w14:paraId="253370BD" w14:textId="77777777" w:rsidR="00D607AE" w:rsidRDefault="00002F67">
      <w:pPr>
        <w:pStyle w:val="ScheduleL1"/>
        <w:rPr>
          <w:szCs w:val="24"/>
        </w:rPr>
      </w:pPr>
      <w:bookmarkStart w:id="32" w:name="_Ref346030309"/>
      <w:r>
        <w:rPr>
          <w:szCs w:val="24"/>
        </w:rPr>
        <w:t>FORMER SUPPLIER INDEMNITIES</w:t>
      </w:r>
    </w:p>
    <w:p w14:paraId="4178C3A0" w14:textId="77777777" w:rsidR="00D607AE" w:rsidRDefault="00002F67">
      <w:pPr>
        <w:pStyle w:val="ScheduleL2"/>
        <w:rPr>
          <w:szCs w:val="24"/>
        </w:rPr>
      </w:pPr>
      <w:r>
        <w:rPr>
          <w:szCs w:val="24"/>
        </w:rPr>
        <w:t xml:space="preserve">Subject to Paragraph 2.2, the Buyer shall procure that each Former Supplier shall indemnify the Supplier and any Subcontractor against any Employee Liabilities arising from or as a result of </w:t>
      </w:r>
      <w:bookmarkEnd w:id="31"/>
      <w:bookmarkEnd w:id="32"/>
      <w:r>
        <w:rPr>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50F5971B" w14:textId="77777777" w:rsidR="00D607AE" w:rsidRDefault="00002F67">
      <w:pPr>
        <w:pStyle w:val="ScheduleL2"/>
        <w:rPr>
          <w:szCs w:val="24"/>
        </w:rPr>
      </w:pPr>
      <w:bookmarkStart w:id="33" w:name="_Ref346030364"/>
      <w:bookmarkStart w:id="34" w:name="_Ref311726598"/>
      <w:r>
        <w:rPr>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bookmarkEnd w:id="33"/>
    </w:p>
    <w:p w14:paraId="78B2D9AC" w14:textId="77777777" w:rsidR="00D607AE" w:rsidRDefault="00002F67">
      <w:pPr>
        <w:pStyle w:val="ScheduleL2"/>
        <w:keepNext/>
        <w:rPr>
          <w:szCs w:val="24"/>
        </w:rPr>
      </w:pPr>
      <w:bookmarkStart w:id="35" w:name="_Ref492895878"/>
      <w:bookmarkStart w:id="36" w:name="_Ref339036408"/>
      <w:bookmarkEnd w:id="34"/>
      <w:r>
        <w:rPr>
          <w:szCs w:val="24"/>
        </w:rPr>
        <w:t>Subject to Paragraphs 2.4 and 2.5, if any employee of a Former Supplier who is not identified as a Transferring Former Supplier Employee and claims, and/or it is determined, in relation to such person that his/her contract of employment has been transferred from a Former Supplier to the Supplier and/or any Notified Subcontractor pursuant to the Employment Regulations then:</w:t>
      </w:r>
      <w:bookmarkEnd w:id="35"/>
      <w:r>
        <w:rPr>
          <w:szCs w:val="24"/>
        </w:rPr>
        <w:t xml:space="preserve"> </w:t>
      </w:r>
    </w:p>
    <w:p w14:paraId="005586C9" w14:textId="77777777" w:rsidR="00D607AE" w:rsidRDefault="00002F67">
      <w:pPr>
        <w:pStyle w:val="ScheduleL3"/>
        <w:rPr>
          <w:szCs w:val="24"/>
        </w:rPr>
      </w:pPr>
      <w:bookmarkStart w:id="37" w:name="_Ref492895862"/>
      <w:r>
        <w:rPr>
          <w:szCs w:val="24"/>
        </w:rPr>
        <w:t>the Supplier will within 5 Working Days of becoming aware of that fact notify the Buyer and the relevant Former Supplier in writing;</w:t>
      </w:r>
      <w:bookmarkEnd w:id="37"/>
    </w:p>
    <w:p w14:paraId="6C2084B0" w14:textId="77777777" w:rsidR="00D607AE" w:rsidRDefault="00002F67">
      <w:pPr>
        <w:pStyle w:val="ScheduleL3"/>
        <w:rPr>
          <w:szCs w:val="24"/>
        </w:rPr>
      </w:pPr>
      <w:bookmarkStart w:id="38" w:name="_Ref492895855"/>
      <w:r>
        <w:rPr>
          <w:szCs w:val="24"/>
        </w:rPr>
        <w:t>the Former Supplier may offer employment to such person, or take such other steps as it considers appropriate to resolve the matter, within 10 Working Days of receipt of notice from the Supplier;</w:t>
      </w:r>
      <w:bookmarkEnd w:id="38"/>
    </w:p>
    <w:p w14:paraId="368F5292" w14:textId="77777777" w:rsidR="00D607AE" w:rsidRDefault="00002F67">
      <w:pPr>
        <w:pStyle w:val="ScheduleL3"/>
        <w:rPr>
          <w:szCs w:val="24"/>
        </w:rPr>
      </w:pPr>
      <w:r>
        <w:rPr>
          <w:szCs w:val="24"/>
        </w:rPr>
        <w:t>if such offer of employment is accepted, the Supplier shall immediately release the person from its employment;</w:t>
      </w:r>
    </w:p>
    <w:p w14:paraId="335F6BDA" w14:textId="77777777" w:rsidR="00D607AE" w:rsidRDefault="00002F67">
      <w:pPr>
        <w:pStyle w:val="ScheduleL3"/>
        <w:rPr>
          <w:szCs w:val="24"/>
        </w:rPr>
      </w:pPr>
      <w:bookmarkStart w:id="39" w:name="_Ref492895868"/>
      <w:r>
        <w:rPr>
          <w:szCs w:val="24"/>
        </w:rPr>
        <w:lastRenderedPageBreak/>
        <w:t>if after the period referred to in Paragraph 2.3.2 no such offer has been made, or such offer has been made but not accepted, the Supplier may within 5 Working Days give notice to terminate the employment of such person;</w:t>
      </w:r>
      <w:bookmarkEnd w:id="39"/>
    </w:p>
    <w:p w14:paraId="6EB9689A" w14:textId="77777777" w:rsidR="00D607AE" w:rsidRDefault="00002F67">
      <w:pPr>
        <w:pStyle w:val="Heading4"/>
        <w:keepLines w:val="0"/>
        <w:numPr>
          <w:ilvl w:val="0"/>
          <w:numId w:val="0"/>
        </w:numPr>
        <w:ind w:left="992"/>
        <w:rPr>
          <w:rFonts w:ascii="Calibri" w:hAnsi="Calibri"/>
          <w:szCs w:val="24"/>
        </w:rPr>
      </w:pPr>
      <w:proofErr w:type="gramStart"/>
      <w:r>
        <w:rPr>
          <w:rFonts w:ascii="Calibri" w:hAnsi="Calibri"/>
          <w:szCs w:val="24"/>
        </w:rPr>
        <w:t>and</w:t>
      </w:r>
      <w:proofErr w:type="gramEnd"/>
      <w:r>
        <w:rPr>
          <w:rFonts w:ascii="Calibri" w:hAnsi="Calibri"/>
          <w:szCs w:val="24"/>
        </w:rPr>
        <w:t xml:space="preserve"> subject to the Supplier's compliance with Paragraphs 2.3.1 to 2.3.4 the Buyer shall procure that the Former Supplier will indemnify the Supplier and/or the relevant Subcontractor against all Employee Liabilities arising out of the termination of the employment of any of the Former Supplier's employees referred to in Paragraph 2.3.</w:t>
      </w:r>
      <w:bookmarkEnd w:id="36"/>
      <w:r>
        <w:rPr>
          <w:rFonts w:ascii="Calibri" w:hAnsi="Calibri"/>
          <w:szCs w:val="24"/>
        </w:rPr>
        <w:t xml:space="preserve"> </w:t>
      </w:r>
    </w:p>
    <w:p w14:paraId="59EED70D" w14:textId="77777777" w:rsidR="00D607AE" w:rsidRDefault="00002F67">
      <w:pPr>
        <w:pStyle w:val="ScheduleL2"/>
        <w:keepNext/>
        <w:rPr>
          <w:szCs w:val="24"/>
        </w:rPr>
      </w:pPr>
      <w:bookmarkStart w:id="40" w:name="_Ref339036312"/>
      <w:bookmarkStart w:id="41" w:name="_Ref492895840"/>
      <w:r>
        <w:rPr>
          <w:szCs w:val="24"/>
        </w:rPr>
        <w:t>The indemnity in Paragraph 2.3</w:t>
      </w:r>
      <w:bookmarkEnd w:id="40"/>
      <w:r>
        <w:rPr>
          <w:szCs w:val="24"/>
        </w:rPr>
        <w:t xml:space="preserve"> shall not apply to any claim:</w:t>
      </w:r>
      <w:bookmarkEnd w:id="41"/>
    </w:p>
    <w:p w14:paraId="3ABCF859" w14:textId="77777777" w:rsidR="00D607AE" w:rsidRDefault="00002F67">
      <w:pPr>
        <w:pStyle w:val="ScheduleL3"/>
        <w:rPr>
          <w:szCs w:val="24"/>
        </w:rPr>
      </w:pPr>
      <w:r>
        <w:rPr>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Supplier and/or any Subcontractor; or</w:t>
      </w:r>
    </w:p>
    <w:p w14:paraId="7E903403" w14:textId="77777777" w:rsidR="00D607AE" w:rsidRDefault="00002F67">
      <w:pPr>
        <w:pStyle w:val="ScheduleL3"/>
        <w:rPr>
          <w:szCs w:val="24"/>
        </w:rPr>
      </w:pPr>
      <w:proofErr w:type="gramStart"/>
      <w:r>
        <w:rPr>
          <w:szCs w:val="24"/>
        </w:rPr>
        <w:t>that</w:t>
      </w:r>
      <w:proofErr w:type="gramEnd"/>
      <w:r>
        <w:rPr>
          <w:szCs w:val="24"/>
        </w:rPr>
        <w:t xml:space="preserve"> the termination of employment was unfair because the Supplier and/or Subcontractor neglected to follow a fair dismissal procedure.</w:t>
      </w:r>
    </w:p>
    <w:p w14:paraId="7D285471" w14:textId="77777777" w:rsidR="00D607AE" w:rsidRDefault="00002F67">
      <w:pPr>
        <w:pStyle w:val="ScheduleL2"/>
        <w:rPr>
          <w:szCs w:val="24"/>
        </w:rPr>
      </w:pPr>
      <w:bookmarkStart w:id="42" w:name="_Ref492895844"/>
      <w:r>
        <w:rPr>
          <w:szCs w:val="24"/>
        </w:rPr>
        <w:t>The indemnity in Paragraph 2.3 shall not apply to any termination of employment occurring later than 3 Months from the Relevant Transfer Date.</w:t>
      </w:r>
      <w:bookmarkEnd w:id="42"/>
    </w:p>
    <w:p w14:paraId="0F3C6EE9" w14:textId="77777777" w:rsidR="00D607AE" w:rsidRDefault="00002F67">
      <w:pPr>
        <w:pStyle w:val="ScheduleL2"/>
        <w:rPr>
          <w:szCs w:val="24"/>
        </w:rPr>
      </w:pPr>
      <w:r>
        <w:rPr>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14:paraId="1C779DDD" w14:textId="77777777" w:rsidR="00D607AE" w:rsidRDefault="00002F67">
      <w:pPr>
        <w:pStyle w:val="ScheduleL1"/>
        <w:rPr>
          <w:szCs w:val="24"/>
        </w:rPr>
      </w:pPr>
      <w:bookmarkStart w:id="43" w:name="_Ref357688215"/>
      <w:bookmarkStart w:id="44" w:name="_Ref357686784"/>
      <w:bookmarkStart w:id="45" w:name="_Ref311726553"/>
      <w:r>
        <w:rPr>
          <w:szCs w:val="24"/>
        </w:rPr>
        <w:t>SUPPLIER INDEMNITIES AND OBLIGATIONS</w:t>
      </w:r>
    </w:p>
    <w:p w14:paraId="33EFEA1F" w14:textId="77777777" w:rsidR="00D607AE" w:rsidRDefault="00002F67">
      <w:pPr>
        <w:pStyle w:val="ScheduleL2"/>
        <w:rPr>
          <w:szCs w:val="24"/>
        </w:rPr>
      </w:pPr>
      <w:r>
        <w:rPr>
          <w:szCs w:val="24"/>
        </w:rPr>
        <w:t xml:space="preserve">Subject to Paragraph 3.1, the Supplier shall indemnify the Buyer, </w:t>
      </w:r>
      <w:proofErr w:type="gramStart"/>
      <w:r>
        <w:rPr>
          <w:szCs w:val="24"/>
        </w:rPr>
        <w:t>and  the</w:t>
      </w:r>
      <w:proofErr w:type="gramEnd"/>
      <w:r>
        <w:rPr>
          <w:szCs w:val="24"/>
        </w:rPr>
        <w:t xml:space="preserve"> Former Supplier against any Employee Liabilities arising from or as a result of </w:t>
      </w:r>
      <w:bookmarkEnd w:id="43"/>
      <w:r>
        <w:rPr>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bookmarkStart w:id="46" w:name="_Ref357687893"/>
    </w:p>
    <w:p w14:paraId="15F58201" w14:textId="77777777" w:rsidR="00D607AE" w:rsidRDefault="00002F67">
      <w:pPr>
        <w:pStyle w:val="ScheduleL2"/>
        <w:rPr>
          <w:szCs w:val="24"/>
        </w:rPr>
      </w:pPr>
      <w:r>
        <w:rPr>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6"/>
    </w:p>
    <w:p w14:paraId="06891292" w14:textId="77777777" w:rsidR="00D607AE" w:rsidRDefault="00002F67">
      <w:pPr>
        <w:pStyle w:val="ScheduleL2"/>
        <w:rPr>
          <w:szCs w:val="24"/>
        </w:rPr>
      </w:pPr>
      <w:r>
        <w:rPr>
          <w:szCs w:val="24"/>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4"/>
    </w:p>
    <w:p w14:paraId="539A12FA" w14:textId="77777777" w:rsidR="00D607AE" w:rsidRDefault="00002F67">
      <w:pPr>
        <w:pStyle w:val="ScheduleL1"/>
        <w:rPr>
          <w:szCs w:val="24"/>
        </w:rPr>
      </w:pPr>
      <w:r>
        <w:rPr>
          <w:szCs w:val="24"/>
        </w:rPr>
        <w:t>INFORMATION</w:t>
      </w:r>
    </w:p>
    <w:p w14:paraId="58D6D38A" w14:textId="77777777" w:rsidR="00D607AE" w:rsidRDefault="00002F67">
      <w:pPr>
        <w:ind w:left="357"/>
        <w:rPr>
          <w:rFonts w:eastAsia="STZhongsong"/>
          <w:szCs w:val="24"/>
        </w:rPr>
      </w:pPr>
      <w:r>
        <w:rPr>
          <w:rFonts w:eastAsia="STZhongsong"/>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w:t>
      </w:r>
      <w:r>
        <w:rPr>
          <w:rFonts w:eastAsia="STZhongsong"/>
          <w:szCs w:val="24"/>
        </w:rPr>
        <w:lastRenderedPageBreak/>
        <w:t>such information as is necessary to enable the Supplier and any Subcontractor to carry out their respective duties under regulation 13 of the Employment Regulations.</w:t>
      </w:r>
    </w:p>
    <w:bookmarkEnd w:id="45"/>
    <w:p w14:paraId="447E435A" w14:textId="77777777" w:rsidR="00D607AE" w:rsidRDefault="00002F67">
      <w:pPr>
        <w:pStyle w:val="ScheduleL1"/>
        <w:rPr>
          <w:szCs w:val="24"/>
        </w:rPr>
      </w:pPr>
      <w:r>
        <w:rPr>
          <w:szCs w:val="24"/>
        </w:rPr>
        <w:t>PRINCIPLES OF GOOD EMPLOYMENT PRACTICE</w:t>
      </w:r>
    </w:p>
    <w:p w14:paraId="3AEAB4F4" w14:textId="77777777" w:rsidR="00D607AE" w:rsidRDefault="00002F67">
      <w:pPr>
        <w:pStyle w:val="ScheduleL2"/>
        <w:rPr>
          <w:szCs w:val="24"/>
        </w:rPr>
      </w:pPr>
      <w:r>
        <w:rPr>
          <w:szCs w:val="24"/>
        </w:rPr>
        <w:t>The Supplier shall comply with any requirement notified to it by the Buyer relating to pensions in respect of any Transferring Former Supplier Employee as set down in (</w:t>
      </w:r>
      <w:proofErr w:type="spellStart"/>
      <w:r>
        <w:rPr>
          <w:szCs w:val="24"/>
        </w:rPr>
        <w:t>i</w:t>
      </w:r>
      <w:proofErr w:type="spellEnd"/>
      <w:r>
        <w:rPr>
          <w:szCs w:val="24"/>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592CC5A3" w14:textId="77777777" w:rsidR="00D607AE" w:rsidRDefault="00002F67">
      <w:pPr>
        <w:pStyle w:val="ScheduleL2"/>
        <w:rPr>
          <w:szCs w:val="24"/>
        </w:rPr>
      </w:pPr>
      <w:r>
        <w:rPr>
          <w:szCs w:val="24"/>
        </w:rPr>
        <w:t>Any changes embodied in any statement of practice, paper or other guidance that replaces any of the documentation referred to in Paragraph 5.1 shall be agreed in accordance with the Change Control Procedure.</w:t>
      </w:r>
    </w:p>
    <w:p w14:paraId="25A6E59E" w14:textId="77777777" w:rsidR="00D607AE" w:rsidRDefault="00002F67">
      <w:pPr>
        <w:pStyle w:val="ScheduleL1"/>
        <w:rPr>
          <w:szCs w:val="24"/>
        </w:rPr>
      </w:pPr>
      <w:r>
        <w:rPr>
          <w:szCs w:val="24"/>
        </w:rPr>
        <w:t>PROCUREMENT OBLIGATIONS</w:t>
      </w:r>
    </w:p>
    <w:p w14:paraId="0EC3AB5A" w14:textId="77777777" w:rsidR="00D607AE" w:rsidRDefault="00002F67">
      <w:pPr>
        <w:ind w:left="357"/>
        <w:rPr>
          <w:rFonts w:eastAsia="STZhongsong"/>
          <w:szCs w:val="24"/>
        </w:rPr>
      </w:pPr>
      <w:r>
        <w:rPr>
          <w:rFonts w:eastAsia="STZhongsong"/>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14:paraId="03916414" w14:textId="77777777" w:rsidR="00D607AE" w:rsidRDefault="00002F67">
      <w:pPr>
        <w:pStyle w:val="ScheduleL1"/>
        <w:rPr>
          <w:szCs w:val="24"/>
        </w:rPr>
      </w:pPr>
      <w:r>
        <w:rPr>
          <w:szCs w:val="24"/>
        </w:rPr>
        <w:t>PENSIONS</w:t>
      </w:r>
    </w:p>
    <w:p w14:paraId="7BB91892" w14:textId="77777777" w:rsidR="00D607AE" w:rsidRDefault="00002F67">
      <w:pPr>
        <w:pStyle w:val="ScheduleL2"/>
        <w:keepNext/>
        <w:rPr>
          <w:szCs w:val="24"/>
        </w:rPr>
      </w:pPr>
      <w:r>
        <w:rPr>
          <w:szCs w:val="24"/>
        </w:rPr>
        <w:t>The Supplier shall comply with:</w:t>
      </w:r>
    </w:p>
    <w:p w14:paraId="06F099EB" w14:textId="77777777" w:rsidR="00D607AE" w:rsidRDefault="00002F67">
      <w:pPr>
        <w:pStyle w:val="ScheduleL3"/>
        <w:rPr>
          <w:szCs w:val="24"/>
        </w:rPr>
      </w:pPr>
      <w:r>
        <w:rPr>
          <w:szCs w:val="24"/>
        </w:rPr>
        <w:t>all statutory pension obligations in respect of all Transferring Former Supplier Employees; and</w:t>
      </w:r>
    </w:p>
    <w:p w14:paraId="574D9008" w14:textId="77777777" w:rsidR="00D607AE" w:rsidRDefault="00002F67">
      <w:pPr>
        <w:pStyle w:val="ScheduleL3"/>
        <w:rPr>
          <w:szCs w:val="24"/>
        </w:rPr>
      </w:pPr>
      <w:proofErr w:type="gramStart"/>
      <w:r>
        <w:rPr>
          <w:szCs w:val="24"/>
        </w:rPr>
        <w:t>the</w:t>
      </w:r>
      <w:proofErr w:type="gramEnd"/>
      <w:r>
        <w:rPr>
          <w:szCs w:val="24"/>
        </w:rPr>
        <w:t xml:space="preserve"> provisions in Part D: Pensions.</w:t>
      </w:r>
    </w:p>
    <w:p w14:paraId="559B5D92" w14:textId="77777777" w:rsidR="00D607AE" w:rsidRDefault="00D607AE">
      <w:pPr>
        <w:rPr>
          <w:rFonts w:eastAsia="STZhongsong"/>
          <w:szCs w:val="24"/>
        </w:rPr>
      </w:pPr>
    </w:p>
    <w:p w14:paraId="44617BA3" w14:textId="77777777" w:rsidR="00D607AE" w:rsidRDefault="00D607AE">
      <w:pPr>
        <w:rPr>
          <w:rFonts w:eastAsia="STZhongsong"/>
          <w:szCs w:val="24"/>
        </w:rPr>
      </w:pPr>
    </w:p>
    <w:p w14:paraId="6AD0EEA2" w14:textId="77777777" w:rsidR="00D607AE" w:rsidRDefault="00002F67">
      <w:pPr>
        <w:pStyle w:val="Heading1"/>
        <w:keepNext w:val="0"/>
        <w:numPr>
          <w:ilvl w:val="0"/>
          <w:numId w:val="14"/>
        </w:numPr>
        <w:spacing w:after="240"/>
        <w:jc w:val="center"/>
        <w:rPr>
          <w:rFonts w:ascii="Calibri" w:eastAsia="STZhongsong" w:hAnsi="Calibri"/>
          <w:b/>
          <w:i w:val="0"/>
          <w:caps/>
          <w:sz w:val="22"/>
          <w:lang w:val="en-GB"/>
        </w:rPr>
      </w:pPr>
      <w:r>
        <w:rPr>
          <w:rFonts w:ascii="Calibri" w:eastAsia="STZhongsong" w:hAnsi="Calibri"/>
          <w:b/>
          <w:i w:val="0"/>
          <w:caps/>
          <w:sz w:val="22"/>
          <w:lang w:val="en-GB"/>
        </w:rPr>
        <w:br w:type="page"/>
      </w:r>
      <w:r>
        <w:rPr>
          <w:rFonts w:ascii="Calibri" w:eastAsia="STZhongsong" w:hAnsi="Calibri"/>
          <w:b/>
          <w:i w:val="0"/>
          <w:caps/>
          <w:sz w:val="22"/>
          <w:lang w:val="en-GB"/>
        </w:rPr>
        <w:lastRenderedPageBreak/>
        <w:t>PART C: NO STAFF TRANSFER ON START DATE (OPTIONAL)</w:t>
      </w:r>
    </w:p>
    <w:p w14:paraId="6C5FB58F" w14:textId="77777777" w:rsidR="00D607AE" w:rsidRDefault="00002F67">
      <w:pPr>
        <w:pStyle w:val="ScheduleL1"/>
        <w:numPr>
          <w:ilvl w:val="0"/>
          <w:numId w:val="20"/>
        </w:numPr>
        <w:tabs>
          <w:tab w:val="clear" w:pos="720"/>
        </w:tabs>
        <w:ind w:left="357" w:hanging="357"/>
        <w:rPr>
          <w:szCs w:val="24"/>
        </w:rPr>
      </w:pPr>
      <w:r>
        <w:rPr>
          <w:szCs w:val="24"/>
        </w:rPr>
        <w:t>PROCEDURE IN THE EVENT OF TRANSFER</w:t>
      </w:r>
    </w:p>
    <w:p w14:paraId="2EC520C4" w14:textId="77777777" w:rsidR="00D607AE" w:rsidRDefault="00002F67">
      <w:pPr>
        <w:pStyle w:val="ScheduleL2"/>
        <w:rPr>
          <w:szCs w:val="24"/>
        </w:rPr>
      </w:pPr>
      <w:r>
        <w:rPr>
          <w:szCs w:val="24"/>
        </w:rPr>
        <w:t xml:space="preserve">The Buyer and the Supplier agree that the commencement of the provision of the Services or of any part of the Services will not be a Relevant Transfer in relation to any employees of the Buyer and/or any Former Supplier.  </w:t>
      </w:r>
      <w:bookmarkStart w:id="47" w:name="_Ref311726687"/>
    </w:p>
    <w:p w14:paraId="5B86D5BE" w14:textId="77777777" w:rsidR="00D607AE" w:rsidRDefault="00002F67">
      <w:pPr>
        <w:pStyle w:val="ScheduleL2"/>
        <w:keepNext/>
        <w:rPr>
          <w:szCs w:val="24"/>
        </w:rPr>
      </w:pPr>
      <w:bookmarkStart w:id="48" w:name="_Ref339619543"/>
      <w:bookmarkStart w:id="49" w:name="_Ref490491607"/>
      <w:r>
        <w:rPr>
          <w:szCs w:val="24"/>
        </w:rPr>
        <w:t>Subject to Paragraphs 1.3, 1.4 and 1.5,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bookmarkStart w:id="50" w:name="_Ref311726702"/>
      <w:bookmarkStart w:id="51" w:name="_Ref339619716"/>
      <w:bookmarkEnd w:id="47"/>
      <w:bookmarkEnd w:id="48"/>
      <w:bookmarkEnd w:id="49"/>
    </w:p>
    <w:p w14:paraId="5EC2D25B" w14:textId="77777777" w:rsidR="00D607AE" w:rsidRDefault="00002F67">
      <w:pPr>
        <w:pStyle w:val="ScheduleL3"/>
        <w:rPr>
          <w:szCs w:val="24"/>
        </w:rPr>
      </w:pPr>
      <w:bookmarkStart w:id="52" w:name="_Ref490491284"/>
      <w:r>
        <w:rPr>
          <w:szCs w:val="24"/>
        </w:rPr>
        <w:t>the Supplier will, within 5 Working Days of becoming aware of that fact, notify the Buyer in writing;</w:t>
      </w:r>
      <w:bookmarkEnd w:id="52"/>
    </w:p>
    <w:p w14:paraId="730CE252" w14:textId="77777777" w:rsidR="00D607AE" w:rsidRDefault="00002F67">
      <w:pPr>
        <w:pStyle w:val="ScheduleL3"/>
        <w:rPr>
          <w:szCs w:val="24"/>
        </w:rPr>
      </w:pPr>
      <w:bookmarkStart w:id="53" w:name="_Ref490491215"/>
      <w:r>
        <w:rPr>
          <w:szCs w:val="24"/>
        </w:rPr>
        <w:t>the Buyer</w:t>
      </w:r>
      <w:r w:rsidR="00516401">
        <w:rPr>
          <w:szCs w:val="24"/>
        </w:rPr>
        <w:t xml:space="preserve"> or the Former Supplier</w:t>
      </w:r>
      <w:r>
        <w:rPr>
          <w:szCs w:val="24"/>
        </w:rPr>
        <w:t xml:space="preserve"> may offer employment to such person, or take such other steps as it considered appropriate to resolve the matter, within 10 Working Days of receipt of notice from the Supplier;</w:t>
      </w:r>
      <w:bookmarkEnd w:id="53"/>
    </w:p>
    <w:p w14:paraId="505347E5" w14:textId="77777777" w:rsidR="00D607AE" w:rsidRDefault="00002F67">
      <w:pPr>
        <w:pStyle w:val="ScheduleL3"/>
        <w:rPr>
          <w:szCs w:val="24"/>
        </w:rPr>
      </w:pPr>
      <w:r>
        <w:rPr>
          <w:szCs w:val="24"/>
        </w:rPr>
        <w:t>if such offer of employment is accepted, the Supplier shall immediately release the person from its employment;</w:t>
      </w:r>
    </w:p>
    <w:p w14:paraId="25F9E972" w14:textId="77777777" w:rsidR="00D607AE" w:rsidRDefault="00002F67">
      <w:pPr>
        <w:pStyle w:val="ScheduleL3"/>
        <w:rPr>
          <w:szCs w:val="24"/>
        </w:rPr>
      </w:pPr>
      <w:bookmarkStart w:id="54" w:name="_Ref490491291"/>
      <w:r>
        <w:rPr>
          <w:szCs w:val="24"/>
        </w:rPr>
        <w:t>if after the period referred to in Paragraph 1.2.2 no such offer has been made, or such offer has been made but not accepted, the Supplier may within 5 Working Days give notice to terminate the employment of such person;</w:t>
      </w:r>
      <w:bookmarkEnd w:id="54"/>
    </w:p>
    <w:p w14:paraId="7F7D784D" w14:textId="77777777" w:rsidR="00D607AE" w:rsidRDefault="00002F67">
      <w:pPr>
        <w:keepNext/>
        <w:ind w:left="993"/>
        <w:rPr>
          <w:rFonts w:eastAsia="STZhongsong"/>
          <w:szCs w:val="24"/>
        </w:rPr>
      </w:pPr>
      <w:proofErr w:type="gramStart"/>
      <w:r>
        <w:rPr>
          <w:rFonts w:eastAsia="STZhongsong"/>
          <w:szCs w:val="24"/>
        </w:rPr>
        <w:t>and</w:t>
      </w:r>
      <w:proofErr w:type="gramEnd"/>
      <w:r>
        <w:rPr>
          <w:rFonts w:eastAsia="STZhongsong"/>
          <w:szCs w:val="24"/>
        </w:rPr>
        <w:t xml:space="preserve"> subject to the Supplier's compliance with Paragraphs 1.2.1 to 1.2.4:</w:t>
      </w:r>
    </w:p>
    <w:p w14:paraId="0B7D2387" w14:textId="77777777" w:rsidR="00D607AE" w:rsidRDefault="00002F67">
      <w:pPr>
        <w:pStyle w:val="ScheduleL4"/>
        <w:rPr>
          <w:szCs w:val="24"/>
        </w:rPr>
      </w:pPr>
      <w:r>
        <w:rPr>
          <w:szCs w:val="24"/>
        </w:rPr>
        <w:t xml:space="preserve">the Buyer will indemnify the Supplier and/or the relevant Subcontractor against all Employee Liabilities arising out of the termination </w:t>
      </w:r>
      <w:bookmarkEnd w:id="50"/>
      <w:r>
        <w:rPr>
          <w:szCs w:val="24"/>
        </w:rPr>
        <w:t xml:space="preserve">of the employment of any of the Buyer's employees referred to in Paragraph 1.2; and </w:t>
      </w:r>
    </w:p>
    <w:p w14:paraId="5AC8A7C4" w14:textId="77777777" w:rsidR="00D607AE" w:rsidRDefault="00002F67">
      <w:pPr>
        <w:pStyle w:val="ScheduleL4"/>
        <w:rPr>
          <w:rFonts w:ascii="Times New Roman" w:hAnsi="Times New Roman"/>
          <w:szCs w:val="24"/>
        </w:rPr>
      </w:pPr>
      <w:proofErr w:type="gramStart"/>
      <w:r>
        <w:rPr>
          <w:szCs w:val="24"/>
        </w:rPr>
        <w:t>the</w:t>
      </w:r>
      <w:proofErr w:type="gramEnd"/>
      <w:r>
        <w:rPr>
          <w:szCs w:val="24"/>
        </w:rPr>
        <w:t xml:space="preserve"> Buyer will procure that the Former Supplier indemnifies the Supplier and/or any Subcontractor against all Employee Liabilities arising out of termination of the employment of the employees of the Former Supplier referred to in Paragraph 1.2</w:t>
      </w:r>
      <w:r>
        <w:rPr>
          <w:rFonts w:ascii="Times New Roman" w:hAnsi="Times New Roman"/>
          <w:szCs w:val="24"/>
        </w:rPr>
        <w:t>.</w:t>
      </w:r>
      <w:bookmarkEnd w:id="51"/>
    </w:p>
    <w:p w14:paraId="5ED8ED1B" w14:textId="77777777" w:rsidR="00D607AE" w:rsidRDefault="00002F67">
      <w:pPr>
        <w:pStyle w:val="ScheduleL2"/>
        <w:keepNext/>
        <w:rPr>
          <w:szCs w:val="24"/>
        </w:rPr>
      </w:pPr>
      <w:bookmarkStart w:id="55" w:name="_Ref492895907"/>
      <w:bookmarkStart w:id="56" w:name="_Ref311726659"/>
      <w:r>
        <w:rPr>
          <w:szCs w:val="24"/>
        </w:rPr>
        <w:t>The indemnities in Paragraph 1.2 shall not apply to any claim:</w:t>
      </w:r>
      <w:bookmarkEnd w:id="55"/>
    </w:p>
    <w:p w14:paraId="430D1C05" w14:textId="77777777" w:rsidR="00D607AE" w:rsidRDefault="00002F67">
      <w:pPr>
        <w:pStyle w:val="ScheduleL3"/>
        <w:rPr>
          <w:szCs w:val="24"/>
        </w:rPr>
      </w:pPr>
      <w:r>
        <w:rPr>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14:paraId="68F8C547" w14:textId="77777777" w:rsidR="00D607AE" w:rsidRDefault="00002F67">
      <w:pPr>
        <w:pStyle w:val="ScheduleL3"/>
        <w:rPr>
          <w:szCs w:val="24"/>
        </w:rPr>
      </w:pPr>
      <w:r>
        <w:rPr>
          <w:szCs w:val="24"/>
        </w:rPr>
        <w:t>any claim that the termination of employment was unfair because the Supplier and/or any Subcontractor neglected to follow a fair dismissal procedure</w:t>
      </w:r>
    </w:p>
    <w:p w14:paraId="2AB5305A" w14:textId="77777777" w:rsidR="00D607AE" w:rsidRDefault="00002F67">
      <w:pPr>
        <w:pStyle w:val="ScheduleL2"/>
        <w:rPr>
          <w:szCs w:val="24"/>
        </w:rPr>
      </w:pPr>
      <w:bookmarkStart w:id="57" w:name="_Ref492895913"/>
      <w:r>
        <w:rPr>
          <w:szCs w:val="24"/>
        </w:rPr>
        <w:t>The indemnities in Paragraph 1.2 shall not apply to any termination of employment occurring later than 3 Months from the Commencement Date.</w:t>
      </w:r>
      <w:bookmarkEnd w:id="57"/>
    </w:p>
    <w:p w14:paraId="040CB455" w14:textId="77777777" w:rsidR="00D607AE" w:rsidRDefault="00002F67">
      <w:pPr>
        <w:pStyle w:val="ScheduleL2"/>
        <w:rPr>
          <w:szCs w:val="24"/>
        </w:rPr>
      </w:pPr>
      <w:bookmarkStart w:id="58" w:name="_Ref492895922"/>
      <w:r>
        <w:rPr>
          <w:szCs w:val="24"/>
        </w:rPr>
        <w:t xml:space="preserve">If the Supplier and/or the Subcontractor does not comply with Paragraph 1.2, </w:t>
      </w:r>
      <w:bookmarkStart w:id="59" w:name="_Ref339619658"/>
      <w:bookmarkEnd w:id="56"/>
      <w:r>
        <w:rPr>
          <w:szCs w:val="24"/>
        </w:rPr>
        <w:t xml:space="preserve">all Employee Liabilities in relation to such employees shall remain with the Supplier and/or the Subcontractor and the Supplier shall </w:t>
      </w:r>
      <w:r>
        <w:rPr>
          <w:rFonts w:ascii="Times New Roman" w:eastAsia="Times New Roman" w:hAnsi="Times New Roman"/>
          <w:szCs w:val="24"/>
        </w:rPr>
        <w:t>(</w:t>
      </w:r>
      <w:proofErr w:type="spellStart"/>
      <w:r>
        <w:rPr>
          <w:rFonts w:ascii="Times New Roman" w:eastAsia="Times New Roman" w:hAnsi="Times New Roman"/>
          <w:szCs w:val="24"/>
        </w:rPr>
        <w:t>i</w:t>
      </w:r>
      <w:proofErr w:type="spellEnd"/>
      <w:r>
        <w:rPr>
          <w:rFonts w:ascii="Times New Roman" w:eastAsia="Times New Roman" w:hAnsi="Times New Roman"/>
          <w:szCs w:val="24"/>
        </w:rPr>
        <w:t xml:space="preserve">) comply with the provisions of Part D: Pensions of this </w:t>
      </w:r>
      <w:r>
        <w:rPr>
          <w:rFonts w:ascii="Times New Roman" w:eastAsia="Times New Roman" w:hAnsi="Times New Roman"/>
          <w:szCs w:val="24"/>
        </w:rPr>
        <w:lastRenderedPageBreak/>
        <w:t>Schedule, and (ii)</w:t>
      </w:r>
      <w:r>
        <w:rPr>
          <w:szCs w:val="24"/>
        </w:rPr>
        <w:t xml:space="preserve"> indemnify the Buyer and any Former Supplier against any Employee Liabilities that either of them may incur in respect of any such employees of the Supplier and/or employees of the Subcontractor.</w:t>
      </w:r>
      <w:bookmarkStart w:id="60" w:name="_Ref339619692"/>
      <w:bookmarkStart w:id="61" w:name="_Ref451159045"/>
      <w:bookmarkEnd w:id="58"/>
      <w:bookmarkEnd w:id="59"/>
    </w:p>
    <w:bookmarkEnd w:id="60"/>
    <w:bookmarkEnd w:id="61"/>
    <w:p w14:paraId="766EC6DD" w14:textId="77777777" w:rsidR="00D607AE" w:rsidRDefault="00002F67">
      <w:pPr>
        <w:pStyle w:val="ScheduleL1"/>
        <w:rPr>
          <w:szCs w:val="24"/>
        </w:rPr>
      </w:pPr>
      <w:r>
        <w:rPr>
          <w:szCs w:val="24"/>
        </w:rPr>
        <w:t>PROCUREMENT OBLIGATIONS</w:t>
      </w:r>
    </w:p>
    <w:p w14:paraId="12D01003" w14:textId="77777777" w:rsidR="00D607AE" w:rsidRDefault="00002F67">
      <w:pPr>
        <w:ind w:left="357"/>
        <w:rPr>
          <w:rFonts w:eastAsia="STZhongsong"/>
          <w:szCs w:val="24"/>
        </w:rPr>
      </w:pPr>
      <w:r>
        <w:rPr>
          <w:rFonts w:eastAsia="STZhongsong"/>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3030327" w14:textId="77777777" w:rsidR="00D607AE" w:rsidRDefault="00002F67">
      <w:pPr>
        <w:pStyle w:val="Heading1"/>
        <w:spacing w:after="240"/>
        <w:jc w:val="center"/>
        <w:rPr>
          <w:rFonts w:ascii="Calibri" w:eastAsia="STZhongsong" w:hAnsi="Calibri"/>
          <w:i w:val="0"/>
          <w:caps/>
          <w:sz w:val="22"/>
        </w:rPr>
      </w:pPr>
      <w:r>
        <w:rPr>
          <w:rFonts w:ascii="Calibri" w:eastAsia="STZhongsong" w:hAnsi="Calibri" w:cs="Arial"/>
          <w:b/>
          <w:i w:val="0"/>
          <w:caps/>
          <w:sz w:val="22"/>
          <w:lang w:val="en-GB"/>
        </w:rPr>
        <w:br w:type="page"/>
      </w:r>
      <w:r>
        <w:rPr>
          <w:rFonts w:ascii="Calibri" w:eastAsia="STZhongsong" w:hAnsi="Calibri"/>
          <w:b/>
          <w:i w:val="0"/>
          <w:caps/>
          <w:sz w:val="22"/>
          <w:lang w:val="en-GB"/>
        </w:rPr>
        <w:lastRenderedPageBreak/>
        <w:t>PART D: PENSIONS</w:t>
      </w:r>
    </w:p>
    <w:p w14:paraId="359CD49F" w14:textId="77777777" w:rsidR="00D607AE" w:rsidRDefault="00002F67">
      <w:pPr>
        <w:pStyle w:val="ScheduleL1"/>
        <w:numPr>
          <w:ilvl w:val="0"/>
          <w:numId w:val="21"/>
        </w:numPr>
        <w:tabs>
          <w:tab w:val="clear" w:pos="720"/>
        </w:tabs>
        <w:ind w:left="357" w:hanging="357"/>
        <w:rPr>
          <w:szCs w:val="24"/>
        </w:rPr>
      </w:pPr>
      <w:r>
        <w:rPr>
          <w:szCs w:val="24"/>
        </w:rPr>
        <w:t>DEFINITIONS</w:t>
      </w:r>
    </w:p>
    <w:p w14:paraId="5C95AF5A" w14:textId="77777777" w:rsidR="00D607AE" w:rsidRDefault="00002F67">
      <w:pPr>
        <w:keepNext/>
        <w:ind w:left="357"/>
        <w:rPr>
          <w:rFonts w:eastAsia="STZhongsong"/>
          <w:szCs w:val="24"/>
          <w:lang w:val="en-US"/>
        </w:rPr>
      </w:pPr>
      <w:r>
        <w:rPr>
          <w:rFonts w:eastAsia="STZhongsong"/>
          <w:szCs w:val="24"/>
          <w:lang w:val="en-US"/>
        </w:rPr>
        <w:t>In this Part D, the following words have the following meanings and they shall supplement Schedule J1: Definitions, and shall be deemed to include the definitions set out in the Annexes:</w:t>
      </w:r>
    </w:p>
    <w:tbl>
      <w:tblPr>
        <w:tblW w:w="9242" w:type="dxa"/>
        <w:tblLayout w:type="fixed"/>
        <w:tblLook w:val="0000" w:firstRow="0" w:lastRow="0" w:firstColumn="0" w:lastColumn="0" w:noHBand="0" w:noVBand="0"/>
      </w:tblPr>
      <w:tblGrid>
        <w:gridCol w:w="3085"/>
        <w:gridCol w:w="6157"/>
      </w:tblGrid>
      <w:tr w:rsidR="00D607AE" w:rsidRPr="00002F67" w14:paraId="4ED69D99" w14:textId="77777777" w:rsidTr="00FD13D1">
        <w:tc>
          <w:tcPr>
            <w:tcW w:w="3085" w:type="dxa"/>
            <w:tcBorders>
              <w:top w:val="nil"/>
              <w:left w:val="nil"/>
              <w:bottom w:val="nil"/>
              <w:right w:val="nil"/>
            </w:tcBorders>
          </w:tcPr>
          <w:p w14:paraId="7574F67E" w14:textId="77777777" w:rsidR="00D607AE" w:rsidRDefault="00002F67">
            <w:pPr>
              <w:spacing w:before="120" w:after="120"/>
              <w:ind w:left="720"/>
              <w:rPr>
                <w:rFonts w:eastAsia="STZhongsong"/>
                <w:b/>
                <w:szCs w:val="24"/>
              </w:rPr>
            </w:pPr>
            <w:r>
              <w:rPr>
                <w:rFonts w:eastAsia="STZhongsong"/>
                <w:b/>
                <w:szCs w:val="24"/>
              </w:rPr>
              <w:t>"Actuary"</w:t>
            </w:r>
          </w:p>
        </w:tc>
        <w:tc>
          <w:tcPr>
            <w:tcW w:w="6157" w:type="dxa"/>
            <w:tcBorders>
              <w:top w:val="nil"/>
              <w:left w:val="nil"/>
              <w:bottom w:val="nil"/>
              <w:right w:val="nil"/>
            </w:tcBorders>
          </w:tcPr>
          <w:p w14:paraId="23214812" w14:textId="77777777" w:rsidR="00D607AE" w:rsidRDefault="00002F67">
            <w:pPr>
              <w:tabs>
                <w:tab w:val="left" w:pos="235"/>
              </w:tabs>
              <w:spacing w:before="120" w:after="120"/>
              <w:rPr>
                <w:rFonts w:eastAsia="STZhongsong"/>
                <w:color w:val="000000"/>
                <w:szCs w:val="24"/>
              </w:rPr>
            </w:pPr>
            <w:r>
              <w:rPr>
                <w:rFonts w:eastAsia="STZhongsong"/>
                <w:color w:val="000000"/>
                <w:szCs w:val="24"/>
              </w:rPr>
              <w:t>a Fellow of the Institute and Faculty of Actuaries;</w:t>
            </w:r>
          </w:p>
        </w:tc>
      </w:tr>
      <w:tr w:rsidR="00D607AE" w:rsidRPr="00002F67" w14:paraId="6A9E4BDA" w14:textId="77777777" w:rsidTr="00FD13D1">
        <w:tc>
          <w:tcPr>
            <w:tcW w:w="3085" w:type="dxa"/>
            <w:tcBorders>
              <w:top w:val="nil"/>
              <w:left w:val="nil"/>
              <w:bottom w:val="nil"/>
              <w:right w:val="nil"/>
            </w:tcBorders>
          </w:tcPr>
          <w:p w14:paraId="1A68E63A" w14:textId="77777777" w:rsidR="00D607AE" w:rsidRDefault="00002F67">
            <w:pPr>
              <w:spacing w:before="120" w:after="120"/>
              <w:ind w:left="720"/>
              <w:rPr>
                <w:rFonts w:eastAsia="STZhongsong"/>
                <w:b/>
                <w:szCs w:val="24"/>
              </w:rPr>
            </w:pPr>
            <w:r>
              <w:rPr>
                <w:rFonts w:eastAsia="STZhongsong"/>
                <w:b/>
                <w:szCs w:val="24"/>
              </w:rPr>
              <w:t>"Admission Agreement"</w:t>
            </w:r>
          </w:p>
        </w:tc>
        <w:tc>
          <w:tcPr>
            <w:tcW w:w="6157" w:type="dxa"/>
            <w:tcBorders>
              <w:top w:val="nil"/>
              <w:left w:val="nil"/>
              <w:bottom w:val="nil"/>
              <w:right w:val="nil"/>
            </w:tcBorders>
          </w:tcPr>
          <w:p w14:paraId="45550B46" w14:textId="77777777" w:rsidR="00D607AE" w:rsidRDefault="00002F67">
            <w:pPr>
              <w:tabs>
                <w:tab w:val="left" w:pos="235"/>
              </w:tabs>
              <w:spacing w:before="120" w:after="120"/>
              <w:rPr>
                <w:rFonts w:eastAsia="STZhongsong"/>
                <w:szCs w:val="24"/>
              </w:rPr>
            </w:pPr>
            <w:r>
              <w:rPr>
                <w:rFonts w:eastAsia="STZhongsong"/>
                <w:szCs w:val="24"/>
              </w:rPr>
              <w:t>means either or both of the CSPS Admission Agreement (as defined in Annex D1: CSPS) or the LGPS Admission Agreement) as defined in Annex D3: LGPS), as the context requires;</w:t>
            </w:r>
          </w:p>
        </w:tc>
      </w:tr>
      <w:tr w:rsidR="00D607AE" w:rsidRPr="00002F67" w14:paraId="2B1A46C4" w14:textId="77777777" w:rsidTr="00FD13D1">
        <w:tc>
          <w:tcPr>
            <w:tcW w:w="3085" w:type="dxa"/>
            <w:tcBorders>
              <w:top w:val="nil"/>
              <w:left w:val="nil"/>
              <w:bottom w:val="nil"/>
              <w:right w:val="nil"/>
            </w:tcBorders>
          </w:tcPr>
          <w:p w14:paraId="55D0D8B7" w14:textId="77777777" w:rsidR="00D607AE" w:rsidRDefault="00002F67">
            <w:pPr>
              <w:widowControl w:val="0"/>
              <w:spacing w:before="120" w:after="120"/>
              <w:ind w:left="720"/>
              <w:rPr>
                <w:rFonts w:eastAsia="STZhongsong"/>
                <w:b/>
                <w:szCs w:val="24"/>
              </w:rPr>
            </w:pPr>
            <w:r>
              <w:rPr>
                <w:rFonts w:eastAsia="STZhongsong"/>
                <w:b/>
                <w:szCs w:val="24"/>
              </w:rPr>
              <w:t>"Broadly Comparable"</w:t>
            </w:r>
          </w:p>
        </w:tc>
        <w:tc>
          <w:tcPr>
            <w:tcW w:w="6157" w:type="dxa"/>
            <w:tcBorders>
              <w:top w:val="nil"/>
              <w:left w:val="nil"/>
              <w:bottom w:val="nil"/>
              <w:right w:val="nil"/>
            </w:tcBorders>
          </w:tcPr>
          <w:p w14:paraId="4816BB3F" w14:textId="77777777" w:rsidR="00D607AE" w:rsidRDefault="00002F67">
            <w:pPr>
              <w:widowControl w:val="0"/>
              <w:numPr>
                <w:ilvl w:val="0"/>
                <w:numId w:val="13"/>
              </w:numPr>
              <w:tabs>
                <w:tab w:val="clear" w:pos="1587"/>
                <w:tab w:val="left" w:pos="695"/>
              </w:tabs>
              <w:spacing w:before="120" w:after="120"/>
              <w:ind w:left="691" w:hanging="648"/>
              <w:rPr>
                <w:rFonts w:eastAsia="STZhongsong"/>
                <w:szCs w:val="24"/>
              </w:rPr>
            </w:pPr>
            <w:r>
              <w:rPr>
                <w:rFonts w:eastAsia="STZhongsong"/>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D607AE" w:rsidRPr="00002F67" w14:paraId="6389A7C1" w14:textId="77777777" w:rsidTr="00FD13D1">
        <w:tc>
          <w:tcPr>
            <w:tcW w:w="3085" w:type="dxa"/>
            <w:tcBorders>
              <w:top w:val="nil"/>
              <w:left w:val="nil"/>
              <w:bottom w:val="nil"/>
              <w:right w:val="nil"/>
            </w:tcBorders>
          </w:tcPr>
          <w:p w14:paraId="2A198FBE" w14:textId="77777777"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14:paraId="31AC2AE4" w14:textId="77777777" w:rsidR="00D607AE" w:rsidRDefault="00002F67">
            <w:pPr>
              <w:widowControl w:val="0"/>
              <w:numPr>
                <w:ilvl w:val="0"/>
                <w:numId w:val="13"/>
              </w:numPr>
              <w:tabs>
                <w:tab w:val="clear" w:pos="1587"/>
                <w:tab w:val="left" w:pos="695"/>
              </w:tabs>
              <w:spacing w:before="120" w:after="120"/>
              <w:ind w:left="695" w:hanging="646"/>
              <w:rPr>
                <w:rFonts w:eastAsia="STZhongsong"/>
                <w:szCs w:val="24"/>
              </w:rPr>
            </w:pPr>
            <w:r>
              <w:rPr>
                <w:rFonts w:eastAsia="STZhongsong"/>
                <w:szCs w:val="24"/>
              </w:rPr>
              <w:t>in respect of benefits provided for or in respect of a member under a pension scheme, benefits that are consistent with that pension scheme’s certificate of broad comparability issued by the Government Actuary’s Department,</w:t>
            </w:r>
          </w:p>
          <w:p w14:paraId="34F62F84" w14:textId="77777777" w:rsidR="00D607AE" w:rsidRDefault="00002F67">
            <w:pPr>
              <w:tabs>
                <w:tab w:val="left" w:pos="235"/>
              </w:tabs>
              <w:spacing w:before="120" w:after="120"/>
              <w:rPr>
                <w:rFonts w:eastAsia="STZhongsong"/>
                <w:szCs w:val="24"/>
              </w:rPr>
            </w:pPr>
            <w:r>
              <w:rPr>
                <w:rFonts w:eastAsia="STZhongsong"/>
                <w:szCs w:val="24"/>
              </w:rPr>
              <w:t>and "</w:t>
            </w:r>
            <w:r>
              <w:rPr>
                <w:rFonts w:eastAsia="STZhongsong"/>
                <w:b/>
                <w:szCs w:val="24"/>
              </w:rPr>
              <w:t>Broad Comparability</w:t>
            </w:r>
            <w:r>
              <w:rPr>
                <w:rFonts w:eastAsia="STZhongsong"/>
                <w:szCs w:val="24"/>
              </w:rPr>
              <w:t>" shall be construed accordingly;</w:t>
            </w:r>
          </w:p>
        </w:tc>
      </w:tr>
      <w:tr w:rsidR="00D607AE" w:rsidRPr="00002F67" w14:paraId="268ED849" w14:textId="77777777" w:rsidTr="00FD13D1">
        <w:tc>
          <w:tcPr>
            <w:tcW w:w="3085" w:type="dxa"/>
            <w:tcBorders>
              <w:top w:val="nil"/>
              <w:left w:val="nil"/>
              <w:bottom w:val="nil"/>
              <w:right w:val="nil"/>
            </w:tcBorders>
          </w:tcPr>
          <w:p w14:paraId="32F577EC" w14:textId="77777777" w:rsidR="00D607AE" w:rsidRDefault="00002F67">
            <w:pPr>
              <w:widowControl w:val="0"/>
              <w:spacing w:before="120" w:after="120"/>
              <w:ind w:left="720"/>
              <w:rPr>
                <w:rFonts w:eastAsia="STZhongsong"/>
                <w:b/>
                <w:szCs w:val="24"/>
              </w:rPr>
            </w:pPr>
            <w:r>
              <w:rPr>
                <w:rFonts w:eastAsia="STZhongsong"/>
                <w:b/>
                <w:szCs w:val="24"/>
              </w:rPr>
              <w:t>"CSPS"</w:t>
            </w:r>
          </w:p>
        </w:tc>
        <w:tc>
          <w:tcPr>
            <w:tcW w:w="6157" w:type="dxa"/>
            <w:tcBorders>
              <w:top w:val="nil"/>
              <w:left w:val="nil"/>
              <w:bottom w:val="nil"/>
              <w:right w:val="nil"/>
            </w:tcBorders>
          </w:tcPr>
          <w:p w14:paraId="0E06664A" w14:textId="77777777" w:rsidR="00D607AE" w:rsidRDefault="00002F67">
            <w:pPr>
              <w:widowControl w:val="0"/>
              <w:spacing w:before="120" w:after="120"/>
              <w:rPr>
                <w:rFonts w:eastAsia="STZhongsong"/>
                <w:szCs w:val="24"/>
              </w:rPr>
            </w:pPr>
            <w:r>
              <w:rPr>
                <w:rFonts w:eastAsia="STZhongsong"/>
                <w:szCs w:val="24"/>
              </w:rPr>
              <w:t xml:space="preserve">the schemes as defined in Annex D1 to this Part D; </w:t>
            </w:r>
          </w:p>
        </w:tc>
      </w:tr>
      <w:tr w:rsidR="00D607AE" w:rsidRPr="00002F67" w14:paraId="66DF1E70" w14:textId="77777777" w:rsidTr="00FD13D1">
        <w:tc>
          <w:tcPr>
            <w:tcW w:w="3085" w:type="dxa"/>
            <w:tcBorders>
              <w:top w:val="nil"/>
              <w:left w:val="nil"/>
              <w:bottom w:val="nil"/>
              <w:right w:val="nil"/>
            </w:tcBorders>
          </w:tcPr>
          <w:p w14:paraId="510C3339" w14:textId="77777777" w:rsidR="00D607AE" w:rsidRDefault="00002F67">
            <w:pPr>
              <w:widowControl w:val="0"/>
              <w:spacing w:before="120" w:after="120"/>
              <w:ind w:left="720"/>
              <w:rPr>
                <w:rFonts w:eastAsia="STZhongsong"/>
                <w:b/>
                <w:szCs w:val="24"/>
              </w:rPr>
            </w:pPr>
            <w:r>
              <w:rPr>
                <w:rFonts w:eastAsia="STZhongsong"/>
                <w:b/>
                <w:szCs w:val="24"/>
              </w:rPr>
              <w:t>"Fair Deal Employees"</w:t>
            </w:r>
          </w:p>
        </w:tc>
        <w:tc>
          <w:tcPr>
            <w:tcW w:w="6157" w:type="dxa"/>
            <w:tcBorders>
              <w:top w:val="nil"/>
              <w:left w:val="nil"/>
              <w:bottom w:val="nil"/>
              <w:right w:val="nil"/>
            </w:tcBorders>
          </w:tcPr>
          <w:p w14:paraId="5C15EF37" w14:textId="77777777" w:rsidR="00D607AE" w:rsidRDefault="00002F67">
            <w:pPr>
              <w:widowControl w:val="0"/>
              <w:spacing w:before="120" w:after="120"/>
              <w:rPr>
                <w:rFonts w:eastAsia="STZhongsong"/>
                <w:szCs w:val="24"/>
              </w:rPr>
            </w:pPr>
            <w:r>
              <w:rPr>
                <w:rFonts w:eastAsia="STZhongsong"/>
                <w:szCs w:val="24"/>
              </w:rPr>
              <w:t>those:</w:t>
            </w:r>
          </w:p>
          <w:p w14:paraId="50870532" w14:textId="77777777" w:rsidR="00D607AE" w:rsidRDefault="00002F67">
            <w:pPr>
              <w:widowControl w:val="0"/>
              <w:numPr>
                <w:ilvl w:val="0"/>
                <w:numId w:val="22"/>
              </w:numPr>
              <w:tabs>
                <w:tab w:val="clear" w:pos="1587"/>
                <w:tab w:val="left" w:pos="695"/>
                <w:tab w:val="num" w:pos="743"/>
              </w:tabs>
              <w:spacing w:before="120" w:after="120"/>
              <w:ind w:left="743" w:hanging="709"/>
              <w:rPr>
                <w:rFonts w:eastAsia="STZhongsong"/>
                <w:szCs w:val="24"/>
              </w:rPr>
            </w:pPr>
            <w:r>
              <w:rPr>
                <w:rFonts w:eastAsia="STZhongsong"/>
                <w:szCs w:val="24"/>
              </w:rPr>
              <w:t xml:space="preserve">Transferring Buyer Employees; and/or </w:t>
            </w:r>
          </w:p>
        </w:tc>
      </w:tr>
      <w:tr w:rsidR="00D607AE" w:rsidRPr="00002F67" w14:paraId="375CA408" w14:textId="77777777" w:rsidTr="00FD13D1">
        <w:tc>
          <w:tcPr>
            <w:tcW w:w="3085" w:type="dxa"/>
            <w:tcBorders>
              <w:top w:val="nil"/>
              <w:left w:val="nil"/>
              <w:bottom w:val="nil"/>
              <w:right w:val="nil"/>
            </w:tcBorders>
          </w:tcPr>
          <w:p w14:paraId="189F8F46" w14:textId="77777777"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14:paraId="3C482913" w14:textId="77777777" w:rsidR="00D607AE" w:rsidRDefault="00002F67">
            <w:pPr>
              <w:widowControl w:val="0"/>
              <w:numPr>
                <w:ilvl w:val="0"/>
                <w:numId w:val="22"/>
              </w:numPr>
              <w:tabs>
                <w:tab w:val="left" w:pos="695"/>
              </w:tabs>
              <w:spacing w:before="120" w:after="120"/>
              <w:ind w:left="695" w:hanging="646"/>
              <w:rPr>
                <w:rFonts w:eastAsia="STZhongsong"/>
                <w:szCs w:val="24"/>
              </w:rPr>
            </w:pPr>
            <w:r>
              <w:rPr>
                <w:rFonts w:eastAsia="STZhongsong"/>
                <w:szCs w:val="24"/>
              </w:rPr>
              <w:t>Transferring Former Supplier Employees; and/or</w:t>
            </w:r>
          </w:p>
        </w:tc>
      </w:tr>
      <w:tr w:rsidR="00D607AE" w:rsidRPr="00002F67" w14:paraId="580603A3" w14:textId="77777777" w:rsidTr="00FD13D1">
        <w:tc>
          <w:tcPr>
            <w:tcW w:w="3085" w:type="dxa"/>
            <w:tcBorders>
              <w:top w:val="nil"/>
              <w:left w:val="nil"/>
              <w:bottom w:val="nil"/>
              <w:right w:val="nil"/>
            </w:tcBorders>
          </w:tcPr>
          <w:p w14:paraId="780D907C" w14:textId="77777777"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14:paraId="3B6CCD1F" w14:textId="77777777" w:rsidR="00D607AE" w:rsidRDefault="00002F67">
            <w:pPr>
              <w:widowControl w:val="0"/>
              <w:numPr>
                <w:ilvl w:val="0"/>
                <w:numId w:val="22"/>
              </w:numPr>
              <w:tabs>
                <w:tab w:val="left" w:pos="695"/>
              </w:tabs>
              <w:spacing w:before="120" w:after="120"/>
              <w:ind w:left="695" w:hanging="646"/>
              <w:rPr>
                <w:rFonts w:eastAsia="STZhongsong"/>
                <w:szCs w:val="24"/>
              </w:rPr>
            </w:pPr>
            <w:r>
              <w:rPr>
                <w:rFonts w:eastAsia="STZhongsong"/>
                <w:szCs w:val="24"/>
              </w:rPr>
              <w:t>employees who are not Transferring Buyer Employees or Transferring Former Supplier Employees but to whom the Employment Regulations apply on the Relevant Transfer Date to transfer their employment to the Supplier or a Subcontractor, , and whose employment is not terminated in accordance with the provisions of Paragraphs 2.3.4 of Parts A or B or Paragraph 1.2.4 of Part C;</w:t>
            </w:r>
          </w:p>
        </w:tc>
      </w:tr>
      <w:tr w:rsidR="00D607AE" w:rsidRPr="00002F67" w14:paraId="6975A368" w14:textId="77777777" w:rsidTr="00FD13D1">
        <w:tc>
          <w:tcPr>
            <w:tcW w:w="3085" w:type="dxa"/>
            <w:tcBorders>
              <w:top w:val="nil"/>
              <w:left w:val="nil"/>
              <w:bottom w:val="nil"/>
              <w:right w:val="nil"/>
            </w:tcBorders>
          </w:tcPr>
          <w:p w14:paraId="79C67B33" w14:textId="77777777" w:rsidR="00D607AE" w:rsidRDefault="00D607AE">
            <w:pPr>
              <w:keepNext/>
              <w:widowControl w:val="0"/>
              <w:spacing w:before="120" w:after="120"/>
              <w:ind w:left="720"/>
              <w:rPr>
                <w:rFonts w:eastAsia="STZhongsong"/>
                <w:szCs w:val="24"/>
              </w:rPr>
            </w:pPr>
          </w:p>
        </w:tc>
        <w:tc>
          <w:tcPr>
            <w:tcW w:w="6157" w:type="dxa"/>
            <w:tcBorders>
              <w:top w:val="nil"/>
              <w:left w:val="nil"/>
              <w:bottom w:val="nil"/>
              <w:right w:val="nil"/>
            </w:tcBorders>
          </w:tcPr>
          <w:p w14:paraId="4E713E73" w14:textId="77777777" w:rsidR="00D607AE" w:rsidRDefault="00002F67">
            <w:pPr>
              <w:widowControl w:val="0"/>
              <w:numPr>
                <w:ilvl w:val="0"/>
                <w:numId w:val="22"/>
              </w:numPr>
              <w:tabs>
                <w:tab w:val="left" w:pos="695"/>
              </w:tabs>
              <w:spacing w:before="120" w:after="120"/>
              <w:ind w:left="695" w:hanging="646"/>
              <w:rPr>
                <w:rFonts w:eastAsia="STZhongsong"/>
                <w:szCs w:val="24"/>
              </w:rPr>
            </w:pPr>
            <w:r>
              <w:rPr>
                <w:rFonts w:eastAsia="STZhongsong"/>
                <w:szCs w:val="24"/>
              </w:rPr>
              <w:t xml:space="preserve">where the Former Supplier becomes the Supplier those employees; </w:t>
            </w:r>
          </w:p>
        </w:tc>
      </w:tr>
      <w:tr w:rsidR="00D607AE" w:rsidRPr="00002F67" w14:paraId="49474AC6" w14:textId="77777777" w:rsidTr="00FD13D1">
        <w:tc>
          <w:tcPr>
            <w:tcW w:w="3085" w:type="dxa"/>
            <w:tcBorders>
              <w:top w:val="nil"/>
              <w:left w:val="nil"/>
              <w:bottom w:val="nil"/>
              <w:right w:val="nil"/>
            </w:tcBorders>
          </w:tcPr>
          <w:p w14:paraId="610AC09E" w14:textId="77777777"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14:paraId="748C668E" w14:textId="77777777" w:rsidR="00D607AE" w:rsidRDefault="00002F67">
            <w:pPr>
              <w:widowControl w:val="0"/>
              <w:spacing w:before="120" w:after="120"/>
              <w:rPr>
                <w:rFonts w:eastAsia="STZhongsong"/>
                <w:szCs w:val="24"/>
              </w:rPr>
            </w:pPr>
            <w:r>
              <w:rPr>
                <w:rFonts w:eastAsia="STZhongsong"/>
                <w:szCs w:val="24"/>
              </w:rPr>
              <w:t>who at the Commencement Date or Relevant Transfer Date (as appropriate) are or become entitled to New Fair Deal protection in respect of any of the Statutory Schemes as notified by the Buyer;</w:t>
            </w:r>
          </w:p>
        </w:tc>
      </w:tr>
      <w:tr w:rsidR="00D607AE" w:rsidRPr="00002F67" w14:paraId="4843AABD" w14:textId="77777777" w:rsidTr="00FD13D1">
        <w:tc>
          <w:tcPr>
            <w:tcW w:w="3085" w:type="dxa"/>
            <w:tcBorders>
              <w:top w:val="nil"/>
              <w:left w:val="nil"/>
              <w:bottom w:val="nil"/>
              <w:right w:val="nil"/>
            </w:tcBorders>
          </w:tcPr>
          <w:p w14:paraId="4F0C6B11" w14:textId="77777777" w:rsidR="00D607AE" w:rsidRDefault="00002F67">
            <w:pPr>
              <w:widowControl w:val="0"/>
              <w:spacing w:before="120" w:after="120"/>
              <w:ind w:left="720"/>
              <w:rPr>
                <w:rFonts w:eastAsia="STZhongsong"/>
                <w:b/>
                <w:szCs w:val="24"/>
              </w:rPr>
            </w:pPr>
            <w:r>
              <w:rPr>
                <w:rFonts w:eastAsia="STZhongsong"/>
                <w:b/>
                <w:szCs w:val="24"/>
              </w:rPr>
              <w:lastRenderedPageBreak/>
              <w:t>"Fair Deal Schemes"</w:t>
            </w:r>
          </w:p>
        </w:tc>
        <w:tc>
          <w:tcPr>
            <w:tcW w:w="6157" w:type="dxa"/>
            <w:tcBorders>
              <w:top w:val="nil"/>
              <w:left w:val="nil"/>
              <w:bottom w:val="nil"/>
              <w:right w:val="nil"/>
            </w:tcBorders>
          </w:tcPr>
          <w:p w14:paraId="2A743C8D" w14:textId="77777777" w:rsidR="00D607AE" w:rsidRDefault="00002F67">
            <w:pPr>
              <w:widowControl w:val="0"/>
              <w:spacing w:before="120" w:after="120"/>
              <w:rPr>
                <w:rFonts w:eastAsia="STZhongsong"/>
                <w:szCs w:val="24"/>
              </w:rPr>
            </w:pPr>
            <w:r>
              <w:rPr>
                <w:rFonts w:eastAsia="STZhongsong"/>
                <w:szCs w:val="24"/>
              </w:rPr>
              <w:t>means the relevant Statutory Scheme or a Broadly Comparable pension scheme;</w:t>
            </w:r>
          </w:p>
        </w:tc>
      </w:tr>
      <w:tr w:rsidR="00D607AE" w:rsidRPr="00002F67" w14:paraId="26863245" w14:textId="77777777" w:rsidTr="00FD13D1">
        <w:tc>
          <w:tcPr>
            <w:tcW w:w="3085" w:type="dxa"/>
            <w:tcBorders>
              <w:top w:val="nil"/>
              <w:left w:val="nil"/>
              <w:bottom w:val="nil"/>
              <w:right w:val="nil"/>
            </w:tcBorders>
          </w:tcPr>
          <w:p w14:paraId="66F9F35E" w14:textId="77777777" w:rsidR="00D607AE" w:rsidRDefault="00002F67">
            <w:pPr>
              <w:widowControl w:val="0"/>
              <w:spacing w:before="120" w:after="120"/>
              <w:ind w:left="720"/>
              <w:rPr>
                <w:rFonts w:eastAsia="STZhongsong"/>
                <w:b/>
                <w:szCs w:val="24"/>
              </w:rPr>
            </w:pPr>
            <w:r>
              <w:rPr>
                <w:rFonts w:eastAsia="STZhongsong"/>
                <w:b/>
                <w:szCs w:val="24"/>
              </w:rPr>
              <w:t>"Fund Actuary"</w:t>
            </w:r>
          </w:p>
        </w:tc>
        <w:tc>
          <w:tcPr>
            <w:tcW w:w="6157" w:type="dxa"/>
            <w:tcBorders>
              <w:top w:val="nil"/>
              <w:left w:val="nil"/>
              <w:bottom w:val="nil"/>
              <w:right w:val="nil"/>
            </w:tcBorders>
          </w:tcPr>
          <w:p w14:paraId="1DFA4DC5" w14:textId="77777777" w:rsidR="00D607AE" w:rsidRDefault="00002F67">
            <w:pPr>
              <w:widowControl w:val="0"/>
              <w:spacing w:before="120" w:after="120"/>
              <w:rPr>
                <w:rFonts w:eastAsia="STZhongsong"/>
                <w:szCs w:val="24"/>
              </w:rPr>
            </w:pPr>
            <w:r>
              <w:rPr>
                <w:rFonts w:eastAsia="STZhongsong"/>
                <w:szCs w:val="24"/>
              </w:rPr>
              <w:t>means Fund Actuary as defined in Annex D3 to this Part D;</w:t>
            </w:r>
          </w:p>
        </w:tc>
      </w:tr>
      <w:tr w:rsidR="00D607AE" w:rsidRPr="00002F67" w14:paraId="3ADABE6D" w14:textId="77777777" w:rsidTr="00FD13D1">
        <w:tc>
          <w:tcPr>
            <w:tcW w:w="3085" w:type="dxa"/>
            <w:tcBorders>
              <w:top w:val="nil"/>
              <w:left w:val="nil"/>
              <w:bottom w:val="nil"/>
              <w:right w:val="nil"/>
            </w:tcBorders>
          </w:tcPr>
          <w:p w14:paraId="05434149" w14:textId="77777777" w:rsidR="00D607AE" w:rsidRDefault="00002F67">
            <w:pPr>
              <w:widowControl w:val="0"/>
              <w:spacing w:before="120" w:after="120"/>
              <w:ind w:left="720"/>
              <w:rPr>
                <w:rFonts w:eastAsia="STZhongsong"/>
                <w:b/>
                <w:szCs w:val="24"/>
              </w:rPr>
            </w:pPr>
            <w:r>
              <w:rPr>
                <w:rFonts w:eastAsia="STZhongsong"/>
                <w:b/>
                <w:szCs w:val="24"/>
              </w:rPr>
              <w:t>"LGPS"</w:t>
            </w:r>
          </w:p>
        </w:tc>
        <w:tc>
          <w:tcPr>
            <w:tcW w:w="6157" w:type="dxa"/>
            <w:tcBorders>
              <w:top w:val="nil"/>
              <w:left w:val="nil"/>
              <w:bottom w:val="nil"/>
              <w:right w:val="nil"/>
            </w:tcBorders>
          </w:tcPr>
          <w:p w14:paraId="002C3430" w14:textId="77777777" w:rsidR="00D607AE" w:rsidRDefault="00002F67">
            <w:pPr>
              <w:widowControl w:val="0"/>
              <w:spacing w:before="120" w:after="120"/>
              <w:rPr>
                <w:rFonts w:eastAsia="STZhongsong"/>
                <w:szCs w:val="24"/>
              </w:rPr>
            </w:pPr>
            <w:r>
              <w:rPr>
                <w:rFonts w:eastAsia="STZhongsong"/>
                <w:szCs w:val="24"/>
              </w:rPr>
              <w:t>the schemes as defined in Annex D3 to this Part D;</w:t>
            </w:r>
          </w:p>
        </w:tc>
      </w:tr>
      <w:tr w:rsidR="00D607AE" w:rsidRPr="00002F67" w14:paraId="2EB40307" w14:textId="77777777" w:rsidTr="00FD13D1">
        <w:tc>
          <w:tcPr>
            <w:tcW w:w="3085" w:type="dxa"/>
            <w:tcBorders>
              <w:top w:val="nil"/>
              <w:left w:val="nil"/>
              <w:bottom w:val="nil"/>
              <w:right w:val="nil"/>
            </w:tcBorders>
          </w:tcPr>
          <w:p w14:paraId="74C81CC9" w14:textId="77777777" w:rsidR="00D607AE" w:rsidRDefault="00002F67">
            <w:pPr>
              <w:widowControl w:val="0"/>
              <w:spacing w:before="120" w:after="120"/>
              <w:ind w:left="720"/>
              <w:rPr>
                <w:rFonts w:eastAsia="STZhongsong"/>
                <w:b/>
                <w:szCs w:val="24"/>
              </w:rPr>
            </w:pPr>
            <w:r>
              <w:rPr>
                <w:rFonts w:eastAsia="STZhongsong"/>
                <w:b/>
                <w:szCs w:val="24"/>
              </w:rPr>
              <w:t>"NHSPS"</w:t>
            </w:r>
          </w:p>
        </w:tc>
        <w:tc>
          <w:tcPr>
            <w:tcW w:w="6157" w:type="dxa"/>
            <w:tcBorders>
              <w:top w:val="nil"/>
              <w:left w:val="nil"/>
              <w:bottom w:val="nil"/>
              <w:right w:val="nil"/>
            </w:tcBorders>
          </w:tcPr>
          <w:p w14:paraId="3C05344B" w14:textId="77777777" w:rsidR="00D607AE" w:rsidRDefault="00002F67">
            <w:pPr>
              <w:keepNext/>
              <w:widowControl w:val="0"/>
              <w:spacing w:before="120" w:after="120"/>
              <w:rPr>
                <w:rFonts w:eastAsia="STZhongsong"/>
                <w:szCs w:val="24"/>
              </w:rPr>
            </w:pPr>
            <w:r>
              <w:rPr>
                <w:rFonts w:eastAsia="STZhongsong"/>
                <w:szCs w:val="24"/>
              </w:rPr>
              <w:t>the schemes  as defined in Annex D2 to this Part D;</w:t>
            </w:r>
          </w:p>
        </w:tc>
      </w:tr>
      <w:tr w:rsidR="00D607AE" w:rsidRPr="00002F67" w14:paraId="67A352C5" w14:textId="77777777" w:rsidTr="00FD13D1">
        <w:tc>
          <w:tcPr>
            <w:tcW w:w="3085" w:type="dxa"/>
            <w:tcBorders>
              <w:top w:val="nil"/>
              <w:left w:val="nil"/>
              <w:bottom w:val="nil"/>
              <w:right w:val="nil"/>
            </w:tcBorders>
          </w:tcPr>
          <w:p w14:paraId="4AE4FEF5" w14:textId="77777777" w:rsidR="00D607AE" w:rsidRDefault="00002F67">
            <w:pPr>
              <w:widowControl w:val="0"/>
              <w:spacing w:before="120" w:after="120"/>
              <w:ind w:left="720"/>
              <w:rPr>
                <w:rFonts w:eastAsia="STZhongsong"/>
                <w:b/>
                <w:szCs w:val="24"/>
              </w:rPr>
            </w:pPr>
            <w:r>
              <w:rPr>
                <w:rFonts w:eastAsia="STZhongsong"/>
                <w:b/>
                <w:szCs w:val="24"/>
              </w:rPr>
              <w:t>"New Fair Deal"</w:t>
            </w:r>
          </w:p>
        </w:tc>
        <w:tc>
          <w:tcPr>
            <w:tcW w:w="6157" w:type="dxa"/>
            <w:tcBorders>
              <w:top w:val="nil"/>
              <w:left w:val="nil"/>
              <w:bottom w:val="nil"/>
              <w:right w:val="nil"/>
            </w:tcBorders>
          </w:tcPr>
          <w:p w14:paraId="4E15C78F" w14:textId="77777777" w:rsidR="00D607AE" w:rsidRDefault="00002F67">
            <w:pPr>
              <w:spacing w:before="120" w:after="120"/>
              <w:rPr>
                <w:rFonts w:eastAsia="STZhongsong"/>
                <w:szCs w:val="24"/>
              </w:rPr>
            </w:pPr>
            <w:r>
              <w:rPr>
                <w:rFonts w:eastAsia="STZhongsong"/>
                <w:szCs w:val="24"/>
              </w:rPr>
              <w:t>the revised Fair Deal position set out in the HM Treasury guidance:  "</w:t>
            </w:r>
            <w:r>
              <w:rPr>
                <w:rFonts w:eastAsia="STZhongsong"/>
                <w:i/>
                <w:szCs w:val="24"/>
              </w:rPr>
              <w:t>Fair Deal for Staff Pensions: Staff Transfer from Central Government</w:t>
            </w:r>
            <w:r>
              <w:rPr>
                <w:rFonts w:eastAsia="STZhongsong"/>
                <w:szCs w:val="24"/>
              </w:rPr>
              <w:t>" issued in October 2013 including:</w:t>
            </w:r>
          </w:p>
          <w:p w14:paraId="34958886" w14:textId="77777777" w:rsidR="00D607AE" w:rsidRDefault="00002F67">
            <w:pPr>
              <w:widowControl w:val="0"/>
              <w:numPr>
                <w:ilvl w:val="0"/>
                <w:numId w:val="28"/>
              </w:numPr>
              <w:tabs>
                <w:tab w:val="clear" w:pos="1587"/>
                <w:tab w:val="left" w:pos="695"/>
                <w:tab w:val="num" w:pos="743"/>
              </w:tabs>
              <w:spacing w:before="120" w:after="120"/>
              <w:ind w:left="743" w:hanging="709"/>
              <w:rPr>
                <w:rFonts w:eastAsia="STZhongsong"/>
                <w:szCs w:val="24"/>
              </w:rPr>
            </w:pPr>
            <w:r>
              <w:rPr>
                <w:rFonts w:eastAsia="STZhongsong"/>
                <w:szCs w:val="24"/>
              </w:rPr>
              <w:t>any amendments to that document immediately prior to the Relevant Transfer Date; and</w:t>
            </w:r>
          </w:p>
        </w:tc>
      </w:tr>
      <w:tr w:rsidR="00D607AE" w:rsidRPr="00002F67" w14:paraId="5EAD2A22" w14:textId="77777777" w:rsidTr="00FD13D1">
        <w:tc>
          <w:tcPr>
            <w:tcW w:w="3085" w:type="dxa"/>
            <w:tcBorders>
              <w:top w:val="nil"/>
              <w:left w:val="nil"/>
              <w:bottom w:val="nil"/>
              <w:right w:val="nil"/>
            </w:tcBorders>
          </w:tcPr>
          <w:p w14:paraId="7FAB4473" w14:textId="77777777"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14:paraId="686DFDC4" w14:textId="77777777" w:rsidR="00D607AE" w:rsidRDefault="00002F67">
            <w:pPr>
              <w:widowControl w:val="0"/>
              <w:numPr>
                <w:ilvl w:val="0"/>
                <w:numId w:val="28"/>
              </w:numPr>
              <w:tabs>
                <w:tab w:val="left" w:pos="695"/>
              </w:tabs>
              <w:spacing w:before="120" w:after="120"/>
              <w:ind w:left="695" w:hanging="646"/>
              <w:rPr>
                <w:rFonts w:eastAsia="STZhongsong"/>
                <w:szCs w:val="24"/>
              </w:rPr>
            </w:pPr>
            <w:r>
              <w:rPr>
                <w:rFonts w:eastAsia="STZhongsong"/>
                <w:szCs w:val="24"/>
              </w:rPr>
              <w:t>any similar pension protection in accordance with the subsequent Annex D1-D3 inclusive as notified to the Supplier by the CCS or Buyer; and</w:t>
            </w:r>
          </w:p>
        </w:tc>
      </w:tr>
      <w:tr w:rsidR="00D607AE" w:rsidRPr="00002F67" w14:paraId="696A53B6" w14:textId="77777777" w:rsidTr="00FD13D1">
        <w:tc>
          <w:tcPr>
            <w:tcW w:w="3085" w:type="dxa"/>
            <w:tcBorders>
              <w:top w:val="nil"/>
              <w:left w:val="nil"/>
              <w:bottom w:val="nil"/>
              <w:right w:val="nil"/>
            </w:tcBorders>
          </w:tcPr>
          <w:p w14:paraId="343643B4" w14:textId="77777777" w:rsidR="00D607AE" w:rsidRDefault="00002F67">
            <w:pPr>
              <w:widowControl w:val="0"/>
              <w:spacing w:before="120" w:after="120"/>
              <w:ind w:left="720"/>
              <w:rPr>
                <w:rFonts w:eastAsia="STZhongsong"/>
                <w:b/>
                <w:szCs w:val="24"/>
              </w:rPr>
            </w:pPr>
            <w:r>
              <w:rPr>
                <w:rFonts w:eastAsia="STZhongsong"/>
                <w:b/>
                <w:szCs w:val="24"/>
              </w:rPr>
              <w:t>"Statutory Schemes"</w:t>
            </w:r>
          </w:p>
        </w:tc>
        <w:tc>
          <w:tcPr>
            <w:tcW w:w="6157" w:type="dxa"/>
            <w:tcBorders>
              <w:top w:val="nil"/>
              <w:left w:val="nil"/>
              <w:bottom w:val="nil"/>
              <w:right w:val="nil"/>
            </w:tcBorders>
          </w:tcPr>
          <w:p w14:paraId="20D012B4" w14:textId="77777777" w:rsidR="00D607AE" w:rsidRDefault="00002F67">
            <w:pPr>
              <w:spacing w:before="120" w:after="120"/>
              <w:rPr>
                <w:rFonts w:eastAsia="STZhongsong"/>
                <w:szCs w:val="24"/>
              </w:rPr>
            </w:pPr>
            <w:proofErr w:type="gramStart"/>
            <w:r>
              <w:rPr>
                <w:rFonts w:eastAsia="STZhongsong"/>
                <w:szCs w:val="24"/>
              </w:rPr>
              <w:t>means</w:t>
            </w:r>
            <w:proofErr w:type="gramEnd"/>
            <w:r>
              <w:rPr>
                <w:rFonts w:eastAsia="STZhongsong"/>
                <w:szCs w:val="24"/>
              </w:rPr>
              <w:t xml:space="preserve"> the CSPS, NHSPS or LGPS.</w:t>
            </w:r>
          </w:p>
        </w:tc>
      </w:tr>
      <w:tr w:rsidR="00FD13D1" w:rsidRPr="00002F67" w14:paraId="76DC5C00" w14:textId="77777777" w:rsidTr="00FD13D1">
        <w:tc>
          <w:tcPr>
            <w:tcW w:w="3085" w:type="dxa"/>
            <w:tcBorders>
              <w:top w:val="nil"/>
              <w:left w:val="nil"/>
              <w:bottom w:val="nil"/>
              <w:right w:val="nil"/>
            </w:tcBorders>
          </w:tcPr>
          <w:p w14:paraId="2F1A6288" w14:textId="77777777" w:rsidR="00FD13D1" w:rsidRDefault="00FD13D1" w:rsidP="00FD13D1">
            <w:pPr>
              <w:widowControl w:val="0"/>
              <w:spacing w:before="120" w:after="120"/>
              <w:ind w:left="720"/>
              <w:rPr>
                <w:rFonts w:eastAsia="STZhongsong"/>
                <w:b/>
                <w:szCs w:val="24"/>
              </w:rPr>
            </w:pPr>
            <w:r w:rsidRPr="00EC50AF">
              <w:rPr>
                <w:b/>
                <w:lang w:eastAsia="zh-CN"/>
              </w:rPr>
              <w:t>"Term"</w:t>
            </w:r>
          </w:p>
        </w:tc>
        <w:tc>
          <w:tcPr>
            <w:tcW w:w="6157" w:type="dxa"/>
            <w:tcBorders>
              <w:top w:val="nil"/>
              <w:left w:val="nil"/>
              <w:bottom w:val="nil"/>
              <w:right w:val="nil"/>
            </w:tcBorders>
          </w:tcPr>
          <w:p w14:paraId="2242C716" w14:textId="77777777" w:rsidR="00FD13D1" w:rsidRDefault="00FD13D1" w:rsidP="00FD13D1">
            <w:pPr>
              <w:spacing w:before="120" w:after="120"/>
              <w:rPr>
                <w:rFonts w:eastAsia="STZhongsong"/>
                <w:szCs w:val="24"/>
              </w:rPr>
            </w:pPr>
            <w:r w:rsidRPr="00EC50AF">
              <w:rPr>
                <w:lang w:eastAsia="zh-CN"/>
              </w:rPr>
              <w:t>the period commencing on the Start Date and ending on the expiry of the Initial Period or any Extension Period or on earlier termination of the relevant Contract;</w:t>
            </w:r>
          </w:p>
        </w:tc>
      </w:tr>
    </w:tbl>
    <w:p w14:paraId="7EC25100" w14:textId="77777777" w:rsidR="00D607AE" w:rsidRDefault="00002F67">
      <w:pPr>
        <w:pStyle w:val="ScheduleL1"/>
        <w:rPr>
          <w:rFonts w:ascii="Times New Roman" w:hAnsi="Times New Roman"/>
          <w:szCs w:val="24"/>
          <w:u w:val="single"/>
        </w:rPr>
      </w:pPr>
      <w:r>
        <w:rPr>
          <w:szCs w:val="24"/>
        </w:rPr>
        <w:t>PARTICIPATION</w:t>
      </w:r>
    </w:p>
    <w:p w14:paraId="7FAA6781" w14:textId="78D9F73D" w:rsidR="00D607AE" w:rsidRDefault="00002F67">
      <w:pPr>
        <w:pStyle w:val="ScheduleL2"/>
        <w:rPr>
          <w:szCs w:val="24"/>
        </w:rPr>
      </w:pPr>
      <w:r>
        <w:rPr>
          <w:szCs w:val="24"/>
        </w:rPr>
        <w:t>In respect of all or any Fair Deal Employees each of Annex D1</w:t>
      </w:r>
      <w:r w:rsidR="00252EF4">
        <w:rPr>
          <w:szCs w:val="24"/>
        </w:rPr>
        <w:t>A</w:t>
      </w:r>
      <w:r>
        <w:rPr>
          <w:szCs w:val="24"/>
        </w:rPr>
        <w:t>: CSPS</w:t>
      </w:r>
      <w:r w:rsidR="00252EF4">
        <w:rPr>
          <w:szCs w:val="24"/>
        </w:rPr>
        <w:t xml:space="preserve"> and D1B MOD</w:t>
      </w:r>
      <w:r>
        <w:rPr>
          <w:szCs w:val="24"/>
        </w:rPr>
        <w:t>, Annex D2: NHSPS and/or Annex D3: LGPS shall apply, as appropriate.</w:t>
      </w:r>
    </w:p>
    <w:p w14:paraId="4751BF77" w14:textId="77777777" w:rsidR="00D607AE" w:rsidRDefault="00002F67">
      <w:pPr>
        <w:pStyle w:val="ScheduleL2"/>
        <w:rPr>
          <w:szCs w:val="24"/>
        </w:rPr>
      </w:pPr>
      <w:r>
        <w:rPr>
          <w:szCs w:val="24"/>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262B1EF6" w14:textId="77777777" w:rsidR="00D607AE" w:rsidRDefault="00002F67">
      <w:pPr>
        <w:pStyle w:val="ScheduleL2"/>
        <w:keepNext/>
        <w:rPr>
          <w:szCs w:val="24"/>
        </w:rPr>
      </w:pPr>
      <w:r>
        <w:rPr>
          <w:szCs w:val="24"/>
        </w:rPr>
        <w:t>The Supplier undertakes:</w:t>
      </w:r>
    </w:p>
    <w:p w14:paraId="5F4F77F7" w14:textId="77777777" w:rsidR="00D607AE" w:rsidRDefault="00002F67">
      <w:pPr>
        <w:pStyle w:val="ScheduleL3"/>
        <w:rPr>
          <w:szCs w:val="24"/>
        </w:rPr>
      </w:pPr>
      <w:r>
        <w:rPr>
          <w:szCs w:val="24"/>
        </w:rPr>
        <w:t>to pay to the Statutory Schemes all such amounts as are due under the relevant Admission Agreement and/or Direction Letter or otherwise and shall deduct and pay to the Statutory Schemes such employee contributions as are required; and</w:t>
      </w:r>
    </w:p>
    <w:p w14:paraId="06BA2C34" w14:textId="77777777" w:rsidR="00D607AE" w:rsidRDefault="00002F67">
      <w:pPr>
        <w:pStyle w:val="ScheduleL3"/>
        <w:rPr>
          <w:szCs w:val="24"/>
        </w:rPr>
      </w:pPr>
      <w:r>
        <w:rPr>
          <w:szCs w:val="24"/>
        </w:rPr>
        <w:t>subject to paragraph 6 of Annex D3 LGPS of this Part D and Schedule 6 the TUPE Surcharge,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2F3E88D4" w14:textId="77777777" w:rsidR="00D607AE" w:rsidRDefault="00D607AE">
      <w:pPr>
        <w:pStyle w:val="ScheduleL2"/>
        <w:numPr>
          <w:ilvl w:val="1"/>
          <w:numId w:val="0"/>
        </w:numPr>
        <w:ind w:left="992" w:hanging="635"/>
        <w:rPr>
          <w:szCs w:val="23"/>
          <w:lang w:val="en-GB"/>
        </w:rPr>
      </w:pPr>
    </w:p>
    <w:p w14:paraId="0D1400DD" w14:textId="77777777" w:rsidR="00D607AE" w:rsidRDefault="00002F67">
      <w:pPr>
        <w:pStyle w:val="ScheduleL1"/>
        <w:rPr>
          <w:szCs w:val="23"/>
        </w:rPr>
      </w:pPr>
      <w:r>
        <w:rPr>
          <w:szCs w:val="23"/>
        </w:rPr>
        <w:lastRenderedPageBreak/>
        <w:t>PROVISION OF INFORMATION</w:t>
      </w:r>
    </w:p>
    <w:p w14:paraId="5371DB93" w14:textId="77777777" w:rsidR="00D607AE" w:rsidRDefault="00002F67">
      <w:pPr>
        <w:pStyle w:val="ScheduleL2"/>
        <w:keepNext/>
        <w:rPr>
          <w:rFonts w:ascii="Times New Roman" w:hAnsi="Times New Roman"/>
          <w:szCs w:val="23"/>
        </w:rPr>
      </w:pPr>
      <w:r>
        <w:rPr>
          <w:szCs w:val="23"/>
        </w:rPr>
        <w:t>The Supplier undertakes to the Buyer</w:t>
      </w:r>
      <w:r>
        <w:rPr>
          <w:i/>
          <w:szCs w:val="23"/>
        </w:rPr>
        <w:t>:</w:t>
      </w:r>
    </w:p>
    <w:p w14:paraId="52018692" w14:textId="77777777" w:rsidR="00D607AE" w:rsidRDefault="00002F67">
      <w:pPr>
        <w:pStyle w:val="ScheduleL3"/>
        <w:rPr>
          <w:szCs w:val="23"/>
        </w:rPr>
      </w:pPr>
      <w:bookmarkStart w:id="62" w:name="_Ref492896157"/>
      <w:r>
        <w:rPr>
          <w:szCs w:val="23"/>
        </w:rPr>
        <w:t>to provide all information which the Buyer</w:t>
      </w:r>
      <w:r>
        <w:rPr>
          <w:i/>
          <w:szCs w:val="23"/>
        </w:rPr>
        <w:t xml:space="preserve"> </w:t>
      </w:r>
      <w:r>
        <w:rPr>
          <w:szCs w:val="23"/>
        </w:rPr>
        <w:t>may reasonably request concerning matters referred to in this Part D as expeditiously as possible; and</w:t>
      </w:r>
      <w:bookmarkEnd w:id="62"/>
    </w:p>
    <w:p w14:paraId="1F9465A9" w14:textId="77777777" w:rsidR="00D607AE" w:rsidRDefault="00002F67">
      <w:pPr>
        <w:pStyle w:val="ScheduleL3"/>
        <w:rPr>
          <w:szCs w:val="23"/>
        </w:rPr>
      </w:pPr>
      <w:proofErr w:type="gramStart"/>
      <w:r>
        <w:rPr>
          <w:szCs w:val="23"/>
        </w:rPr>
        <w:t>not</w:t>
      </w:r>
      <w:proofErr w:type="gramEnd"/>
      <w:r>
        <w:rPr>
          <w:szCs w:val="23"/>
        </w:rPr>
        <w:t xml:space="preserve"> to issue any announcements to any Fair Deal Employee prior to the Relevant Transfer Date concerning the matters stated in this Part D without the consent in writing of the Buyer (such consent not to be unreasonably withheld or delayed).</w:t>
      </w:r>
    </w:p>
    <w:p w14:paraId="1B0CB6F9" w14:textId="77777777" w:rsidR="00D607AE" w:rsidRDefault="00002F67">
      <w:pPr>
        <w:pStyle w:val="ScheduleL1"/>
        <w:rPr>
          <w:szCs w:val="23"/>
        </w:rPr>
      </w:pPr>
      <w:r>
        <w:rPr>
          <w:szCs w:val="23"/>
        </w:rPr>
        <w:t>INDEMNITIES</w:t>
      </w:r>
    </w:p>
    <w:p w14:paraId="51D4393C" w14:textId="77777777" w:rsidR="00D607AE" w:rsidRDefault="00002F67">
      <w:pPr>
        <w:pStyle w:val="ScheduleL2"/>
        <w:rPr>
          <w:szCs w:val="23"/>
        </w:rPr>
      </w:pPr>
      <w:r>
        <w:rPr>
          <w:szCs w:val="23"/>
        </w:rPr>
        <w:t>The Supplier undertakes to the Buyer</w:t>
      </w:r>
      <w:r>
        <w:rPr>
          <w:i/>
          <w:szCs w:val="23"/>
        </w:rPr>
        <w:t xml:space="preserve">  </w:t>
      </w:r>
      <w:r>
        <w:rPr>
          <w:szCs w:val="23"/>
        </w:rPr>
        <w:t>to indemnify and keep indemnified CCS, NHS Pensions the Buyer</w:t>
      </w:r>
      <w:r>
        <w:rPr>
          <w:i/>
          <w:szCs w:val="23"/>
        </w:rPr>
        <w:t xml:space="preserve"> </w:t>
      </w:r>
      <w:r>
        <w:rPr>
          <w:szCs w:val="23"/>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14:paraId="55A49746" w14:textId="77777777" w:rsidR="00D607AE" w:rsidRDefault="00002F67">
      <w:pPr>
        <w:pStyle w:val="ScheduleL2"/>
        <w:keepNext/>
        <w:rPr>
          <w:szCs w:val="23"/>
        </w:rPr>
      </w:pPr>
      <w:bookmarkStart w:id="63" w:name="_Ref321833613"/>
      <w:r>
        <w:rPr>
          <w:szCs w:val="23"/>
        </w:rPr>
        <w:t>The Supplier hereby indemnifies the CCS, NHS Pensions, the Buyer</w:t>
      </w:r>
      <w:r>
        <w:rPr>
          <w:i/>
          <w:szCs w:val="23"/>
        </w:rPr>
        <w:t xml:space="preserve"> </w:t>
      </w:r>
      <w:r>
        <w:rPr>
          <w:szCs w:val="23"/>
        </w:rPr>
        <w:t>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bookmarkEnd w:id="63"/>
    </w:p>
    <w:p w14:paraId="264C4886" w14:textId="77777777" w:rsidR="00D607AE" w:rsidRDefault="00002F67">
      <w:pPr>
        <w:pStyle w:val="ScheduleL3"/>
        <w:rPr>
          <w:szCs w:val="23"/>
        </w:rPr>
      </w:pPr>
      <w:bookmarkStart w:id="64" w:name="_Ref321833614"/>
      <w:r>
        <w:rPr>
          <w:szCs w:val="23"/>
        </w:rPr>
        <w:t>relate to pension rights in respect of periods of employment on and after the Relevant Transfer Date until the date of termination or expiry of this Contract; or</w:t>
      </w:r>
      <w:bookmarkEnd w:id="64"/>
    </w:p>
    <w:p w14:paraId="57870C54" w14:textId="77777777" w:rsidR="00D607AE" w:rsidRDefault="00002F67">
      <w:pPr>
        <w:pStyle w:val="ScheduleL3"/>
        <w:rPr>
          <w:szCs w:val="23"/>
        </w:rPr>
      </w:pPr>
      <w:bookmarkStart w:id="65" w:name="_Ref321833615"/>
      <w:proofErr w:type="gramStart"/>
      <w:r>
        <w:rPr>
          <w:szCs w:val="23"/>
        </w:rPr>
        <w:t>arise</w:t>
      </w:r>
      <w:proofErr w:type="gramEnd"/>
      <w:r>
        <w:rPr>
          <w:szCs w:val="23"/>
        </w:rPr>
        <w:t xml:space="preserve"> out of the failure of the Supplier and/or any relevant Subcontractor to comply with the provisions of this Part D before the date of termination or expiry of this Contract.</w:t>
      </w:r>
      <w:bookmarkEnd w:id="65"/>
      <w:r>
        <w:rPr>
          <w:szCs w:val="23"/>
        </w:rPr>
        <w:t xml:space="preserve"> </w:t>
      </w:r>
    </w:p>
    <w:p w14:paraId="72F0CF93" w14:textId="77777777" w:rsidR="00D607AE" w:rsidRDefault="00002F67">
      <w:pPr>
        <w:pStyle w:val="ScheduleL2"/>
        <w:keepNext/>
        <w:rPr>
          <w:szCs w:val="23"/>
        </w:rPr>
      </w:pPr>
      <w:r>
        <w:rPr>
          <w:szCs w:val="23"/>
        </w:rPr>
        <w:t>The indemnities in this Part D and its Annexes:</w:t>
      </w:r>
    </w:p>
    <w:p w14:paraId="1B582B2C" w14:textId="77777777" w:rsidR="00D607AE" w:rsidRDefault="00002F67">
      <w:pPr>
        <w:pStyle w:val="ScheduleL3"/>
        <w:rPr>
          <w:szCs w:val="23"/>
        </w:rPr>
      </w:pPr>
      <w:r>
        <w:rPr>
          <w:szCs w:val="23"/>
        </w:rPr>
        <w:t>shall survive termination of this Contract; and</w:t>
      </w:r>
    </w:p>
    <w:p w14:paraId="207CF8B3" w14:textId="77777777" w:rsidR="00D607AE" w:rsidRDefault="00002F67">
      <w:pPr>
        <w:pStyle w:val="ScheduleL3"/>
        <w:rPr>
          <w:szCs w:val="23"/>
        </w:rPr>
      </w:pPr>
      <w:proofErr w:type="gramStart"/>
      <w:r>
        <w:rPr>
          <w:szCs w:val="23"/>
        </w:rPr>
        <w:t>shall</w:t>
      </w:r>
      <w:proofErr w:type="gramEnd"/>
      <w:r>
        <w:rPr>
          <w:szCs w:val="23"/>
        </w:rPr>
        <w:t xml:space="preserve"> not be affected by the caps on liability contained in Clause 11 (How much you can be held responsible for).</w:t>
      </w:r>
    </w:p>
    <w:p w14:paraId="755DA9F7" w14:textId="77777777" w:rsidR="00D607AE" w:rsidRDefault="00002F67">
      <w:pPr>
        <w:pStyle w:val="ScheduleL1"/>
        <w:rPr>
          <w:szCs w:val="23"/>
        </w:rPr>
      </w:pPr>
      <w:r>
        <w:rPr>
          <w:szCs w:val="23"/>
        </w:rPr>
        <w:t>DISPUTES</w:t>
      </w:r>
    </w:p>
    <w:p w14:paraId="254E58C0" w14:textId="77777777" w:rsidR="00D607AE" w:rsidRDefault="00002F67">
      <w:pPr>
        <w:pStyle w:val="ScheduleL2"/>
        <w:keepNext/>
        <w:rPr>
          <w:szCs w:val="23"/>
        </w:rPr>
      </w:pPr>
      <w:r>
        <w:rPr>
          <w:szCs w:val="23"/>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14:paraId="49AF8681" w14:textId="77777777" w:rsidR="00D607AE" w:rsidRDefault="00002F67">
      <w:pPr>
        <w:pStyle w:val="ScheduleL3"/>
        <w:rPr>
          <w:szCs w:val="23"/>
        </w:rPr>
      </w:pPr>
      <w:r>
        <w:rPr>
          <w:szCs w:val="23"/>
        </w:rPr>
        <w:t xml:space="preserve">who will act as an expert and not as an arbitrator; </w:t>
      </w:r>
    </w:p>
    <w:p w14:paraId="6DC7EB03" w14:textId="77777777" w:rsidR="00D607AE" w:rsidRDefault="00002F67">
      <w:pPr>
        <w:pStyle w:val="ScheduleL3"/>
        <w:rPr>
          <w:szCs w:val="23"/>
        </w:rPr>
      </w:pPr>
      <w:r>
        <w:rPr>
          <w:szCs w:val="23"/>
        </w:rPr>
        <w:t xml:space="preserve">whose decision will be final and binding on the CCS and/or the Buyer and/or the Supplier; and </w:t>
      </w:r>
    </w:p>
    <w:p w14:paraId="298FBE5D" w14:textId="77777777" w:rsidR="00D607AE" w:rsidRDefault="00002F67">
      <w:pPr>
        <w:pStyle w:val="ScheduleL3"/>
        <w:rPr>
          <w:szCs w:val="23"/>
        </w:rPr>
      </w:pPr>
      <w:proofErr w:type="gramStart"/>
      <w:r>
        <w:rPr>
          <w:szCs w:val="23"/>
        </w:rPr>
        <w:t>whose</w:t>
      </w:r>
      <w:proofErr w:type="gramEnd"/>
      <w:r>
        <w:rPr>
          <w:szCs w:val="23"/>
        </w:rPr>
        <w:t xml:space="preserve"> expenses shall be borne equally by the CCS and/or the Buyer and/or the Supplier unless the independent Actuary shall otherwise direct.</w:t>
      </w:r>
    </w:p>
    <w:p w14:paraId="0A86BB66" w14:textId="77777777" w:rsidR="00D607AE" w:rsidRDefault="00002F67">
      <w:pPr>
        <w:pStyle w:val="ScheduleL1"/>
        <w:rPr>
          <w:szCs w:val="23"/>
        </w:rPr>
      </w:pPr>
      <w:r>
        <w:rPr>
          <w:szCs w:val="23"/>
        </w:rPr>
        <w:lastRenderedPageBreak/>
        <w:t>THIRD PARTY RIGHTS</w:t>
      </w:r>
    </w:p>
    <w:p w14:paraId="6DCFE1B6" w14:textId="77777777" w:rsidR="00D607AE" w:rsidRDefault="00002F67">
      <w:pPr>
        <w:pStyle w:val="ScheduleL2"/>
        <w:rPr>
          <w:szCs w:val="23"/>
        </w:rPr>
      </w:pPr>
      <w:r w:rsidRPr="005F5F72">
        <w:rPr>
          <w:rFonts w:asciiTheme="minorHAnsi" w:eastAsia="Times New Roman" w:hAnsiTheme="minorHAnsi" w:cstheme="minorHAnsi"/>
          <w:szCs w:val="23"/>
        </w:rPr>
        <w:t xml:space="preserve">The Parties agree Clause 19 (Other people’s rights in this contract) does not apply and that the CRTPA applies to this </w:t>
      </w:r>
      <w:r w:rsidRPr="005F5F72">
        <w:rPr>
          <w:rFonts w:asciiTheme="minorHAnsi" w:hAnsiTheme="minorHAnsi" w:cstheme="minorHAnsi"/>
          <w:szCs w:val="23"/>
        </w:rPr>
        <w:t>Part D to the extent necessary to ensure that any Fair Deal Employee will have the right to enforce any obligation owed to him or her or it by the Supplier under this Part D, in his or her or its own right under section 1(1) of the CRTPA</w:t>
      </w:r>
      <w:r>
        <w:rPr>
          <w:szCs w:val="23"/>
        </w:rPr>
        <w:t xml:space="preserve">. </w:t>
      </w:r>
    </w:p>
    <w:p w14:paraId="5B130305" w14:textId="77777777" w:rsidR="00D607AE" w:rsidRPr="005F5F72" w:rsidRDefault="00002F67">
      <w:pPr>
        <w:pStyle w:val="ScheduleL2"/>
        <w:rPr>
          <w:rFonts w:asciiTheme="minorHAnsi" w:eastAsia="Times New Roman" w:hAnsiTheme="minorHAnsi" w:cstheme="minorHAnsi"/>
          <w:szCs w:val="22"/>
        </w:rPr>
      </w:pPr>
      <w:r w:rsidRPr="005F5F72">
        <w:rPr>
          <w:rFonts w:asciiTheme="minorHAnsi" w:hAnsiTheme="minorHAnsi" w:cstheme="minorHAnsi"/>
          <w:szCs w:val="22"/>
        </w:rPr>
        <w:t>Further, the Supplier must ensure that the CRTPA will apply to any Sub-Contract to the extent necessary to ensure that any Fair Deal Employee will have the right to enforce any obligation</w:t>
      </w:r>
      <w:r w:rsidRPr="005F5F72">
        <w:rPr>
          <w:rFonts w:asciiTheme="minorHAnsi" w:eastAsia="Times New Roman" w:hAnsiTheme="minorHAnsi" w:cstheme="minorHAnsi"/>
          <w:szCs w:val="22"/>
        </w:rPr>
        <w:t xml:space="preserve"> owed to them by the Subcontractor in his or her or its own right under section 1(1) of the CRTPA.</w:t>
      </w:r>
    </w:p>
    <w:p w14:paraId="0367B30F" w14:textId="77777777" w:rsidR="00D607AE" w:rsidRDefault="00002F67">
      <w:pPr>
        <w:pStyle w:val="ScheduleL1"/>
        <w:rPr>
          <w:szCs w:val="23"/>
        </w:rPr>
      </w:pPr>
      <w:r>
        <w:rPr>
          <w:szCs w:val="23"/>
        </w:rPr>
        <w:t>BREACH</w:t>
      </w:r>
    </w:p>
    <w:p w14:paraId="3C4CEA91" w14:textId="77777777" w:rsidR="00D607AE" w:rsidRDefault="00002F67">
      <w:pPr>
        <w:pStyle w:val="ScheduleL2"/>
        <w:keepNext/>
        <w:rPr>
          <w:rFonts w:ascii="Times New Roman" w:eastAsia="Times New Roman" w:hAnsi="Times New Roman"/>
          <w:szCs w:val="23"/>
        </w:rPr>
      </w:pPr>
      <w:r>
        <w:rPr>
          <w:szCs w:val="23"/>
        </w:rPr>
        <w:t>The Supplier agrees to notify the Buyer</w:t>
      </w:r>
      <w:r>
        <w:rPr>
          <w:i/>
          <w:szCs w:val="23"/>
        </w:rPr>
        <w:t xml:space="preserve"> </w:t>
      </w:r>
      <w:r>
        <w:rPr>
          <w:szCs w:val="23"/>
        </w:rPr>
        <w:t xml:space="preserve">should it breach any obligations it has under this Part D and agrees </w:t>
      </w:r>
      <w:r>
        <w:rPr>
          <w:rFonts w:ascii="Times New Roman" w:eastAsia="Times New Roman" w:hAnsi="Times New Roman"/>
          <w:szCs w:val="23"/>
        </w:rPr>
        <w:t xml:space="preserve">that the </w:t>
      </w:r>
      <w:r>
        <w:rPr>
          <w:szCs w:val="23"/>
        </w:rPr>
        <w:t>Buyer</w:t>
      </w:r>
      <w:r>
        <w:rPr>
          <w:i/>
          <w:szCs w:val="23"/>
        </w:rPr>
        <w:t xml:space="preserve"> </w:t>
      </w:r>
      <w:r>
        <w:rPr>
          <w:rFonts w:ascii="Times New Roman" w:eastAsia="Times New Roman" w:hAnsi="Times New Roman"/>
          <w:szCs w:val="23"/>
        </w:rPr>
        <w:t xml:space="preserve">shall be entitled to terminate its Contract for material Default in the event </w:t>
      </w:r>
      <w:r>
        <w:rPr>
          <w:szCs w:val="23"/>
        </w:rPr>
        <w:t>that</w:t>
      </w:r>
      <w:r>
        <w:rPr>
          <w:rFonts w:ascii="Times New Roman" w:eastAsia="Times New Roman" w:hAnsi="Times New Roman"/>
          <w:szCs w:val="23"/>
        </w:rPr>
        <w:t xml:space="preserve"> the Supplier:</w:t>
      </w:r>
    </w:p>
    <w:p w14:paraId="6DCF8547" w14:textId="77777777" w:rsidR="00D607AE" w:rsidRDefault="00002F67">
      <w:pPr>
        <w:pStyle w:val="ScheduleL3"/>
        <w:rPr>
          <w:szCs w:val="23"/>
        </w:rPr>
      </w:pPr>
      <w:r>
        <w:rPr>
          <w:szCs w:val="23"/>
        </w:rPr>
        <w:t>commits an irremediable breach of any provision or obligation it has under this Part D; or</w:t>
      </w:r>
    </w:p>
    <w:p w14:paraId="4D38F55F" w14:textId="77777777" w:rsidR="00D607AE" w:rsidRDefault="00002F67">
      <w:pPr>
        <w:pStyle w:val="ScheduleL3"/>
        <w:rPr>
          <w:szCs w:val="23"/>
        </w:rPr>
      </w:pPr>
      <w:proofErr w:type="gramStart"/>
      <w:r>
        <w:rPr>
          <w:szCs w:val="23"/>
        </w:rPr>
        <w:t>commits</w:t>
      </w:r>
      <w:proofErr w:type="gramEnd"/>
      <w:r>
        <w:rPr>
          <w:szCs w:val="23"/>
        </w:rPr>
        <w:t xml:space="preserve">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1D2A0BAA" w14:textId="77777777" w:rsidR="00D607AE" w:rsidRDefault="00002F67">
      <w:pPr>
        <w:pStyle w:val="ScheduleL1"/>
        <w:rPr>
          <w:szCs w:val="23"/>
        </w:rPr>
      </w:pPr>
      <w:bookmarkStart w:id="66" w:name="_Toc341793180"/>
      <w:bookmarkStart w:id="67" w:name="_Toc341873863"/>
      <w:bookmarkStart w:id="68" w:name="_Toc345937115"/>
      <w:bookmarkStart w:id="69" w:name="_Toc346800982"/>
      <w:bookmarkStart w:id="70" w:name="_Toc346876065"/>
      <w:bookmarkStart w:id="71" w:name="_Toc348531754"/>
      <w:bookmarkStart w:id="72" w:name="_Toc348628253"/>
      <w:bookmarkStart w:id="73" w:name="_Toc348700058"/>
      <w:bookmarkStart w:id="74" w:name="_Toc349634339"/>
      <w:bookmarkStart w:id="75" w:name="_Toc351125675"/>
      <w:bookmarkStart w:id="76" w:name="_Toc351644055"/>
      <w:bookmarkStart w:id="77" w:name="_Toc356853517"/>
      <w:bookmarkStart w:id="78" w:name="_Toc357169176"/>
      <w:bookmarkStart w:id="79" w:name="_Toc357654748"/>
      <w:bookmarkStart w:id="80" w:name="_Toc357738149"/>
      <w:r>
        <w:rPr>
          <w:szCs w:val="23"/>
        </w:rPr>
        <w:t>TRANSFER TO ANOTHER EMPLOYER/ SUB- CONTRACTORS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10E3D8A" w14:textId="77777777" w:rsidR="00D607AE" w:rsidRDefault="00002F67">
      <w:pPr>
        <w:pStyle w:val="ScheduleL2"/>
        <w:keepNext/>
        <w:rPr>
          <w:szCs w:val="23"/>
        </w:rPr>
      </w:pPr>
      <w:r>
        <w:rPr>
          <w:szCs w:val="23"/>
        </w:rPr>
        <w:t>Save on expiry or termination of this Contract, if the employment of any Fair Deal Employee transfers to another employer (by way of a transfer under the Employment Regulations) the Supplier shall and shall procure that any relevant Subcontractor shall:</w:t>
      </w:r>
    </w:p>
    <w:p w14:paraId="4A5BCD98" w14:textId="77777777" w:rsidR="00D607AE" w:rsidRDefault="00002F67">
      <w:pPr>
        <w:pStyle w:val="ScheduleL3"/>
        <w:rPr>
          <w:szCs w:val="23"/>
        </w:rPr>
      </w:pPr>
      <w:r>
        <w:rPr>
          <w:szCs w:val="23"/>
        </w:rPr>
        <w:t>consult with and inform those Fair Deal Employees of the pension provisions relating to that transfer; and</w:t>
      </w:r>
    </w:p>
    <w:p w14:paraId="3EEB20CD" w14:textId="77777777" w:rsidR="00D607AE" w:rsidRDefault="00002F67">
      <w:pPr>
        <w:pStyle w:val="ScheduleL3"/>
        <w:rPr>
          <w:szCs w:val="23"/>
        </w:rPr>
      </w:pPr>
      <w:r>
        <w:rPr>
          <w:szCs w:val="23"/>
        </w:rPr>
        <w:t xml:space="preserve">procure that the employer to which the Fair Deal Employees are transferred (the </w:t>
      </w:r>
      <w:r>
        <w:rPr>
          <w:b/>
          <w:szCs w:val="23"/>
        </w:rPr>
        <w:t>"New Employer"</w:t>
      </w:r>
      <w:r>
        <w:rPr>
          <w:szCs w:val="23"/>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5D56377B" w14:textId="77777777" w:rsidR="00D607AE" w:rsidRDefault="00002F67">
      <w:pPr>
        <w:pStyle w:val="ScheduleL1"/>
        <w:rPr>
          <w:szCs w:val="23"/>
        </w:rPr>
      </w:pPr>
      <w:bookmarkStart w:id="81" w:name="_Toc341793181"/>
      <w:bookmarkStart w:id="82" w:name="_Toc341873864"/>
      <w:bookmarkStart w:id="83" w:name="_Toc345937116"/>
      <w:bookmarkStart w:id="84" w:name="_Toc346800983"/>
      <w:bookmarkStart w:id="85" w:name="_Toc346876066"/>
      <w:bookmarkStart w:id="86" w:name="_Toc348531755"/>
      <w:bookmarkStart w:id="87" w:name="_Toc348628254"/>
      <w:bookmarkStart w:id="88" w:name="_Toc348700059"/>
      <w:bookmarkStart w:id="89" w:name="_Toc349634340"/>
      <w:bookmarkStart w:id="90" w:name="_Toc351125676"/>
      <w:bookmarkStart w:id="91" w:name="_Toc351644056"/>
      <w:bookmarkStart w:id="92" w:name="_Toc356853518"/>
      <w:bookmarkStart w:id="93" w:name="_Toc357169177"/>
      <w:bookmarkStart w:id="94" w:name="_Toc357654749"/>
      <w:bookmarkStart w:id="95" w:name="_Toc357738150"/>
      <w:r>
        <w:rPr>
          <w:szCs w:val="23"/>
        </w:rPr>
        <w:t>PENSION ISSUES ON EXPIRY OR TERMINATION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F9B4FCF" w14:textId="77777777" w:rsidR="00D607AE" w:rsidRDefault="00002F67">
      <w:pPr>
        <w:ind w:left="357"/>
        <w:rPr>
          <w:rFonts w:eastAsia="STZhongsong"/>
          <w:szCs w:val="23"/>
        </w:rPr>
      </w:pPr>
      <w:r>
        <w:rPr>
          <w:rFonts w:eastAsia="STZhongsong"/>
          <w:szCs w:val="23"/>
        </w:rPr>
        <w:t>The provisions of Part E: Staff Transfer on Exit (Mandatory) apply in relation to pension issues on expiry or termination of this Contract.</w:t>
      </w:r>
    </w:p>
    <w:p w14:paraId="1451A825" w14:textId="77777777" w:rsidR="00D607AE" w:rsidRDefault="00002F67">
      <w:pPr>
        <w:pStyle w:val="ScheduleL1"/>
        <w:rPr>
          <w:szCs w:val="23"/>
        </w:rPr>
      </w:pPr>
      <w:bookmarkStart w:id="96" w:name="_Ref498528125"/>
      <w:r>
        <w:rPr>
          <w:szCs w:val="23"/>
        </w:rPr>
        <w:t>BROADLY COMPARABLE PENSION SCHEMES</w:t>
      </w:r>
      <w:bookmarkEnd w:id="96"/>
    </w:p>
    <w:p w14:paraId="1BAC5528" w14:textId="77777777" w:rsidR="00D607AE" w:rsidRDefault="00002F67">
      <w:pPr>
        <w:pStyle w:val="ScheduleL2"/>
        <w:keepNext/>
        <w:rPr>
          <w:szCs w:val="23"/>
        </w:rPr>
      </w:pPr>
      <w:bookmarkStart w:id="97" w:name="_Ref498720160"/>
      <w:r>
        <w:rPr>
          <w:szCs w:val="23"/>
        </w:rPr>
        <w:t>If either:</w:t>
      </w:r>
      <w:bookmarkEnd w:id="97"/>
    </w:p>
    <w:p w14:paraId="3D4B9E79" w14:textId="77777777" w:rsidR="00D607AE" w:rsidRDefault="00002F67">
      <w:pPr>
        <w:pStyle w:val="ScheduleL3"/>
        <w:rPr>
          <w:szCs w:val="23"/>
        </w:rPr>
      </w:pPr>
      <w:r>
        <w:rPr>
          <w:szCs w:val="23"/>
        </w:rPr>
        <w:t>the terms of any of Paragraphs 2.2 of Annex D1: CSPS, 5.2 of Annex D2: NHSPS and or 4 of Annex D3: LGPS apply; and/or</w:t>
      </w:r>
    </w:p>
    <w:p w14:paraId="190B519D" w14:textId="77777777" w:rsidR="00D607AE" w:rsidRDefault="00002F67">
      <w:pPr>
        <w:pStyle w:val="ScheduleL3"/>
        <w:rPr>
          <w:szCs w:val="23"/>
        </w:rPr>
      </w:pPr>
      <w:r>
        <w:rPr>
          <w:szCs w:val="23"/>
        </w:rPr>
        <w:lastRenderedPageBreak/>
        <w:t>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6246BCB7" w14:textId="77777777" w:rsidR="00D607AE" w:rsidRDefault="00002F67">
      <w:pPr>
        <w:ind w:left="992"/>
        <w:rPr>
          <w:rFonts w:eastAsia="STZhongsong"/>
          <w:szCs w:val="23"/>
        </w:rPr>
      </w:pPr>
      <w:r>
        <w:rPr>
          <w:rFonts w:eastAsia="STZhongsong"/>
          <w:szCs w:val="23"/>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4EC299A9" w14:textId="77777777" w:rsidR="00D607AE" w:rsidRDefault="00002F67">
      <w:pPr>
        <w:pStyle w:val="ScheduleL2"/>
        <w:keepNext/>
        <w:rPr>
          <w:szCs w:val="23"/>
        </w:rPr>
      </w:pPr>
      <w:r>
        <w:rPr>
          <w:szCs w:val="23"/>
        </w:rPr>
        <w:t>Where the Supplier has set up a Broadly Comparable pension scheme or schemes pursuant to the provisions of Paragraph 10.1, the Supplier shall (and shall procure that any of its Subcontractors shall):</w:t>
      </w:r>
    </w:p>
    <w:p w14:paraId="1A8DD8CA" w14:textId="77777777" w:rsidR="00D607AE" w:rsidRDefault="00002F67">
      <w:pPr>
        <w:pStyle w:val="ScheduleL3"/>
        <w:rPr>
          <w:rFonts w:cs="Arial"/>
          <w:szCs w:val="23"/>
        </w:rPr>
      </w:pPr>
      <w:r>
        <w:rPr>
          <w:rFonts w:cs="Arial"/>
          <w:szCs w:val="23"/>
        </w:rPr>
        <w:t xml:space="preserve">supply to the Buyer  </w:t>
      </w:r>
      <w:r>
        <w:rPr>
          <w:szCs w:val="23"/>
        </w:rPr>
        <w:t>details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r>
        <w:rPr>
          <w:rFonts w:cs="Arial"/>
          <w:szCs w:val="23"/>
        </w:rPr>
        <w:t>;</w:t>
      </w:r>
    </w:p>
    <w:p w14:paraId="4EC2828B" w14:textId="77777777" w:rsidR="00D607AE" w:rsidRDefault="00002F67">
      <w:pPr>
        <w:pStyle w:val="ScheduleL3"/>
        <w:rPr>
          <w:rFonts w:cs="Arial"/>
          <w:szCs w:val="23"/>
        </w:rPr>
      </w:pPr>
      <w:r>
        <w:rPr>
          <w:szCs w:val="23"/>
        </w:rPr>
        <w:t xml:space="preserve">fully fund any such Broadly Comparable pension scheme in accordance with the funding requirements set by that Broadly Comparable pension scheme’s Actuary or by </w:t>
      </w:r>
      <w:r>
        <w:rPr>
          <w:rFonts w:cs="Arial"/>
          <w:szCs w:val="23"/>
        </w:rPr>
        <w:t>the Government Actuary’s Department for the period ending on the Service Transfer Date;</w:t>
      </w:r>
    </w:p>
    <w:p w14:paraId="1716DB13" w14:textId="77777777" w:rsidR="00D607AE" w:rsidRDefault="00002F67">
      <w:pPr>
        <w:pStyle w:val="ScheduleL3"/>
        <w:rPr>
          <w:rFonts w:eastAsia="Times New Roman" w:cs="Arial"/>
          <w:szCs w:val="23"/>
        </w:rPr>
      </w:pPr>
      <w:r>
        <w:rPr>
          <w:rFonts w:cs="Arial"/>
          <w:szCs w:val="23"/>
        </w:rPr>
        <w:t>instruct any such Broadly Comparable pension scheme’s Actuary to, and to provide all such co-operation and assistance in respect of any such Broadly Comparable pens</w:t>
      </w:r>
      <w:r>
        <w:rPr>
          <w:rFonts w:eastAsia="Times New Roman" w:cs="Arial"/>
          <w:szCs w:val="23"/>
        </w:rPr>
        <w:t>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14:paraId="62DF33CE" w14:textId="77777777" w:rsidR="00D607AE" w:rsidRDefault="00002F67">
      <w:pPr>
        <w:pStyle w:val="ScheduleL3"/>
        <w:rPr>
          <w:rFonts w:ascii="Times New Roman" w:eastAsia="Times New Roman" w:hAnsi="Times New Roman" w:cs="Arial"/>
          <w:szCs w:val="23"/>
        </w:rPr>
      </w:pPr>
      <w:r>
        <w:rPr>
          <w:rFonts w:cs="Arial"/>
          <w:szCs w:val="23"/>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14:paraId="27D33FC0" w14:textId="77777777" w:rsidR="00D607AE" w:rsidRDefault="00002F67">
      <w:pPr>
        <w:pStyle w:val="ScheduleL3"/>
        <w:rPr>
          <w:szCs w:val="23"/>
        </w:rPr>
      </w:pPr>
      <w:bookmarkStart w:id="98" w:name="_Ref498720615"/>
      <w:r>
        <w:rPr>
          <w:szCs w:val="23"/>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Pr>
          <w:b/>
          <w:szCs w:val="23"/>
        </w:rPr>
        <w:t>"Shortfall"</w:t>
      </w:r>
      <w:r>
        <w:rPr>
          <w:szCs w:val="23"/>
        </w:rPr>
        <w:t>), the Supplier or the Subcontractor (as agreed between them) must pay the Statutory Scheme, as required, provided that in the absence of any agreement between the Supplier and any Subcontractor, the Shortfall shall be paid by the Supplier;  and</w:t>
      </w:r>
      <w:bookmarkEnd w:id="98"/>
    </w:p>
    <w:p w14:paraId="6E418163" w14:textId="77777777" w:rsidR="00D607AE" w:rsidRDefault="00002F67">
      <w:pPr>
        <w:pStyle w:val="ScheduleL3"/>
        <w:rPr>
          <w:szCs w:val="23"/>
        </w:rPr>
      </w:pPr>
      <w:proofErr w:type="gramStart"/>
      <w:r>
        <w:rPr>
          <w:szCs w:val="23"/>
        </w:rPr>
        <w:lastRenderedPageBreak/>
        <w:t>indemnify</w:t>
      </w:r>
      <w:proofErr w:type="gramEnd"/>
      <w:r>
        <w:rPr>
          <w:szCs w:val="23"/>
        </w:rPr>
        <w:t xml:space="preserve"> CCS and/or the Buyer and/or NHS Pension and/or CSPS and/or the relevant Administering Authority and/or on demand for any failure to pay the Shortfall as required under Paragraph 10.2.5 above.</w:t>
      </w:r>
    </w:p>
    <w:p w14:paraId="620DAE98" w14:textId="56EBB4B3" w:rsidR="00D607AE" w:rsidRDefault="00002F67">
      <w:pPr>
        <w:jc w:val="center"/>
        <w:outlineLvl w:val="1"/>
        <w:rPr>
          <w:rFonts w:eastAsia="STZhongsong"/>
          <w:szCs w:val="23"/>
          <w:lang w:val="en-US"/>
        </w:rPr>
      </w:pPr>
      <w:r>
        <w:rPr>
          <w:rFonts w:eastAsia="STZhongsong"/>
          <w:szCs w:val="23"/>
        </w:rPr>
        <w:br w:type="page"/>
      </w:r>
      <w:r>
        <w:rPr>
          <w:rFonts w:eastAsia="STZhongsong"/>
          <w:b/>
          <w:szCs w:val="23"/>
        </w:rPr>
        <w:lastRenderedPageBreak/>
        <w:t>Annex D1</w:t>
      </w:r>
      <w:r w:rsidR="000033D7">
        <w:rPr>
          <w:rFonts w:eastAsia="STZhongsong"/>
          <w:b/>
          <w:szCs w:val="23"/>
        </w:rPr>
        <w:t>A</w:t>
      </w:r>
      <w:r>
        <w:rPr>
          <w:rFonts w:eastAsia="STZhongsong"/>
          <w:b/>
          <w:szCs w:val="23"/>
        </w:rPr>
        <w:t xml:space="preserve">: CSPS </w:t>
      </w:r>
    </w:p>
    <w:p w14:paraId="41EFF255" w14:textId="77777777" w:rsidR="00D607AE" w:rsidRDefault="00002F67">
      <w:pPr>
        <w:pStyle w:val="ScheduleL1"/>
        <w:numPr>
          <w:ilvl w:val="0"/>
          <w:numId w:val="23"/>
        </w:numPr>
        <w:tabs>
          <w:tab w:val="clear" w:pos="720"/>
        </w:tabs>
        <w:ind w:left="357" w:hanging="357"/>
        <w:rPr>
          <w:rFonts w:ascii="Times New Roman" w:hAnsi="Times New Roman"/>
          <w:szCs w:val="23"/>
          <w:lang w:val="en-US"/>
        </w:rPr>
      </w:pPr>
      <w:r>
        <w:rPr>
          <w:szCs w:val="23"/>
        </w:rPr>
        <w:t>DEFINITIONS</w:t>
      </w:r>
    </w:p>
    <w:p w14:paraId="2D307D0C" w14:textId="77777777" w:rsidR="00D607AE" w:rsidRDefault="00002F67">
      <w:pPr>
        <w:keepNext/>
        <w:ind w:left="368" w:hanging="11"/>
        <w:outlineLvl w:val="1"/>
        <w:rPr>
          <w:rFonts w:eastAsia="STZhongsong"/>
          <w:szCs w:val="23"/>
          <w:lang w:val="en-US"/>
        </w:rPr>
      </w:pPr>
      <w:r>
        <w:rPr>
          <w:rFonts w:eastAsia="STZhongsong"/>
          <w:szCs w:val="23"/>
          <w:lang w:val="en-US"/>
        </w:rPr>
        <w:t>In this Annex D1: CSPS to Part D: Pensions, the following words have the following meanings and they shall supplement Schedule J1: Definitions:</w:t>
      </w:r>
    </w:p>
    <w:tbl>
      <w:tblPr>
        <w:tblW w:w="9378" w:type="dxa"/>
        <w:tblLayout w:type="fixed"/>
        <w:tblLook w:val="0000" w:firstRow="0" w:lastRow="0" w:firstColumn="0" w:lastColumn="0" w:noHBand="0" w:noVBand="0"/>
      </w:tblPr>
      <w:tblGrid>
        <w:gridCol w:w="2835"/>
        <w:gridCol w:w="6543"/>
      </w:tblGrid>
      <w:tr w:rsidR="00D607AE" w:rsidRPr="00002F67" w14:paraId="32BC2542" w14:textId="77777777">
        <w:tc>
          <w:tcPr>
            <w:tcW w:w="2835" w:type="dxa"/>
            <w:tcBorders>
              <w:top w:val="nil"/>
              <w:left w:val="nil"/>
              <w:bottom w:val="nil"/>
              <w:right w:val="nil"/>
            </w:tcBorders>
          </w:tcPr>
          <w:p w14:paraId="383A0ADA" w14:textId="77777777" w:rsidR="00D607AE" w:rsidRDefault="00002F67">
            <w:pPr>
              <w:spacing w:before="120" w:after="120"/>
              <w:ind w:left="709"/>
              <w:rPr>
                <w:rFonts w:eastAsia="STZhongsong"/>
                <w:b/>
                <w:color w:val="000000"/>
                <w:szCs w:val="23"/>
              </w:rPr>
            </w:pPr>
            <w:r>
              <w:rPr>
                <w:rFonts w:eastAsia="STZhongsong"/>
                <w:b/>
                <w:color w:val="000000"/>
                <w:szCs w:val="23"/>
              </w:rPr>
              <w:t>"CSPS Admission Agreement"</w:t>
            </w:r>
          </w:p>
        </w:tc>
        <w:tc>
          <w:tcPr>
            <w:tcW w:w="6543" w:type="dxa"/>
            <w:tcBorders>
              <w:top w:val="nil"/>
              <w:left w:val="nil"/>
              <w:bottom w:val="nil"/>
              <w:right w:val="nil"/>
            </w:tcBorders>
          </w:tcPr>
          <w:p w14:paraId="25BF30B4" w14:textId="77777777" w:rsidR="00D607AE" w:rsidRDefault="00002F67">
            <w:pPr>
              <w:tabs>
                <w:tab w:val="left" w:pos="235"/>
              </w:tabs>
              <w:spacing w:before="120" w:after="120"/>
              <w:rPr>
                <w:rFonts w:eastAsia="STZhongsong"/>
                <w:color w:val="000000"/>
                <w:szCs w:val="23"/>
              </w:rPr>
            </w:pPr>
            <w:r>
              <w:rPr>
                <w:rFonts w:eastAsia="STZhongsong"/>
                <w:color w:val="000000"/>
                <w:szCs w:val="23"/>
              </w:rPr>
              <w:t>an admission agreement in the form available on the Civil Service Pensions website immediately prior to the Relevant Transfer Date to be entered into for the CSPS in respect of the Services;</w:t>
            </w:r>
          </w:p>
        </w:tc>
      </w:tr>
      <w:tr w:rsidR="00D607AE" w:rsidRPr="00002F67" w14:paraId="6EC452B8" w14:textId="77777777">
        <w:tc>
          <w:tcPr>
            <w:tcW w:w="2835" w:type="dxa"/>
            <w:tcBorders>
              <w:top w:val="nil"/>
              <w:left w:val="nil"/>
              <w:bottom w:val="nil"/>
              <w:right w:val="nil"/>
            </w:tcBorders>
          </w:tcPr>
          <w:p w14:paraId="76EE33D5" w14:textId="77777777" w:rsidR="00D607AE" w:rsidRDefault="00002F67">
            <w:pPr>
              <w:spacing w:before="120" w:after="120"/>
              <w:ind w:left="709"/>
              <w:rPr>
                <w:rFonts w:eastAsia="STZhongsong"/>
                <w:b/>
                <w:color w:val="000000"/>
                <w:szCs w:val="23"/>
              </w:rPr>
            </w:pPr>
            <w:r>
              <w:rPr>
                <w:rFonts w:eastAsia="STZhongsong"/>
                <w:b/>
                <w:color w:val="000000"/>
                <w:szCs w:val="23"/>
              </w:rPr>
              <w:t>"CSPS Eligible Employee"</w:t>
            </w:r>
          </w:p>
        </w:tc>
        <w:tc>
          <w:tcPr>
            <w:tcW w:w="6543" w:type="dxa"/>
            <w:tcBorders>
              <w:top w:val="nil"/>
              <w:left w:val="nil"/>
              <w:bottom w:val="nil"/>
              <w:right w:val="nil"/>
            </w:tcBorders>
          </w:tcPr>
          <w:p w14:paraId="2B4770EF" w14:textId="77777777" w:rsidR="00D607AE" w:rsidRDefault="00002F67">
            <w:pPr>
              <w:tabs>
                <w:tab w:val="left" w:pos="235"/>
              </w:tabs>
              <w:spacing w:before="120" w:after="120"/>
              <w:rPr>
                <w:rFonts w:eastAsia="STZhongsong"/>
                <w:color w:val="000000"/>
                <w:szCs w:val="23"/>
              </w:rPr>
            </w:pPr>
            <w:r>
              <w:rPr>
                <w:rFonts w:eastAsia="STZhongsong"/>
                <w:color w:val="000000"/>
                <w:szCs w:val="23"/>
              </w:rPr>
              <w:t>any Fair Deal Employee who at the relevant time is an eligible employee as defined in the CSPS Admission Agreement;</w:t>
            </w:r>
          </w:p>
        </w:tc>
      </w:tr>
      <w:tr w:rsidR="00D607AE" w:rsidRPr="00002F67" w14:paraId="3B5C9B81" w14:textId="77777777">
        <w:tc>
          <w:tcPr>
            <w:tcW w:w="2835" w:type="dxa"/>
            <w:tcBorders>
              <w:top w:val="nil"/>
              <w:left w:val="nil"/>
              <w:bottom w:val="nil"/>
              <w:right w:val="nil"/>
            </w:tcBorders>
          </w:tcPr>
          <w:p w14:paraId="7CA64B23" w14:textId="77777777" w:rsidR="00D607AE" w:rsidRDefault="00002F67">
            <w:pPr>
              <w:spacing w:before="120" w:after="120"/>
              <w:ind w:left="709"/>
              <w:rPr>
                <w:rFonts w:eastAsia="STZhongsong"/>
                <w:b/>
                <w:color w:val="000000"/>
                <w:szCs w:val="23"/>
              </w:rPr>
            </w:pPr>
            <w:r>
              <w:rPr>
                <w:rFonts w:eastAsia="STZhongsong"/>
                <w:b/>
                <w:color w:val="000000"/>
                <w:szCs w:val="23"/>
              </w:rPr>
              <w:t>"CSPS"</w:t>
            </w:r>
          </w:p>
        </w:tc>
        <w:tc>
          <w:tcPr>
            <w:tcW w:w="6543" w:type="dxa"/>
            <w:tcBorders>
              <w:top w:val="nil"/>
              <w:left w:val="nil"/>
              <w:bottom w:val="nil"/>
              <w:right w:val="nil"/>
            </w:tcBorders>
          </w:tcPr>
          <w:p w14:paraId="129D65F1" w14:textId="77777777" w:rsidR="00D607AE" w:rsidRDefault="00002F67">
            <w:pPr>
              <w:tabs>
                <w:tab w:val="num" w:pos="34"/>
              </w:tabs>
              <w:spacing w:before="120" w:after="120"/>
              <w:rPr>
                <w:rFonts w:eastAsia="STZhongsong"/>
                <w:color w:val="000000"/>
                <w:szCs w:val="23"/>
              </w:rPr>
            </w:pPr>
            <w:r>
              <w:rPr>
                <w:rFonts w:eastAsia="STZhongsong"/>
                <w:color w:val="000000"/>
                <w:szCs w:val="23"/>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eastAsia="STZhongsong"/>
                <w:color w:val="000000"/>
                <w:szCs w:val="23"/>
              </w:rPr>
              <w:t>i</w:t>
            </w:r>
            <w:proofErr w:type="spellEnd"/>
            <w:r>
              <w:rPr>
                <w:rFonts w:eastAsia="STZhongsong"/>
                <w:color w:val="000000"/>
                <w:szCs w:val="23"/>
              </w:rPr>
              <w:t>) Ill health Benefits Scheme and (ii) Death Benefits Scheme; the Civil Service Additional Voluntary Contribution Scheme; the Designated Stakeholder Pension Scheme</w:t>
            </w:r>
            <w:r>
              <w:rPr>
                <w:rFonts w:eastAsia="STZhongsong"/>
                <w:szCs w:val="23"/>
              </w:rPr>
              <w:t xml:space="preserve"> (</w:t>
            </w:r>
            <w:r>
              <w:rPr>
                <w:rFonts w:eastAsia="STZhongsong"/>
                <w:color w:val="000000"/>
                <w:szCs w:val="23"/>
              </w:rPr>
              <w:t>which is scheduled to close to new members in September 2018)  and "alpha" introduced under The Public Service (Civil Servants and Others) Pensions Regulations 2014.</w:t>
            </w:r>
          </w:p>
        </w:tc>
      </w:tr>
    </w:tbl>
    <w:p w14:paraId="6AC66C3E" w14:textId="77777777" w:rsidR="00D607AE" w:rsidRDefault="00002F67">
      <w:pPr>
        <w:pStyle w:val="ScheduleL1"/>
        <w:rPr>
          <w:szCs w:val="23"/>
        </w:rPr>
      </w:pPr>
      <w:r>
        <w:rPr>
          <w:szCs w:val="23"/>
        </w:rPr>
        <w:t xml:space="preserve">FUTURE SERVICE BENEFITS  </w:t>
      </w:r>
    </w:p>
    <w:p w14:paraId="59337232" w14:textId="77777777" w:rsidR="00D607AE" w:rsidRDefault="00002F67">
      <w:pPr>
        <w:pStyle w:val="ScheduleL2"/>
        <w:rPr>
          <w:szCs w:val="23"/>
        </w:rPr>
      </w:pPr>
      <w:r>
        <w:rPr>
          <w:szCs w:val="23"/>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25B0C2C1" w14:textId="77777777" w:rsidR="00D607AE" w:rsidRDefault="00002F67">
      <w:pPr>
        <w:pStyle w:val="ScheduleL2"/>
        <w:rPr>
          <w:rFonts w:ascii="Times New Roman" w:eastAsia="Times New Roman" w:hAnsi="Times New Roman"/>
          <w:szCs w:val="23"/>
        </w:rPr>
      </w:pPr>
      <w:bookmarkStart w:id="99" w:name="_Ref498720560"/>
      <w:r>
        <w:rPr>
          <w:szCs w:val="23"/>
        </w:rPr>
        <w:t xml:space="preserve">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 on the date the </w:t>
      </w:r>
      <w:bookmarkStart w:id="100" w:name="_Ref450734652"/>
      <w:r>
        <w:rPr>
          <w:rFonts w:ascii="Times New Roman" w:eastAsia="Times New Roman" w:hAnsi="Times New Roman"/>
          <w:szCs w:val="23"/>
        </w:rPr>
        <w:t>CSPS</w:t>
      </w:r>
      <w:r>
        <w:rPr>
          <w:rFonts w:eastAsia="Times New Roman"/>
          <w:szCs w:val="23"/>
        </w:rPr>
        <w:t xml:space="preserve"> Eligible Employees ceased to participate in the CSPS</w:t>
      </w:r>
      <w:r>
        <w:rPr>
          <w:rFonts w:ascii="Times New Roman" w:eastAsia="Times New Roman" w:hAnsi="Times New Roman"/>
          <w:szCs w:val="23"/>
        </w:rPr>
        <w:t>.</w:t>
      </w:r>
      <w:bookmarkEnd w:id="99"/>
      <w:bookmarkEnd w:id="100"/>
    </w:p>
    <w:p w14:paraId="092C30BF" w14:textId="77777777" w:rsidR="00F766FF" w:rsidRDefault="00F766FF" w:rsidP="00F766FF">
      <w:pPr>
        <w:jc w:val="center"/>
        <w:outlineLvl w:val="1"/>
        <w:rPr>
          <w:rFonts w:eastAsia="STZhongsong"/>
          <w:b/>
          <w:szCs w:val="23"/>
        </w:rPr>
      </w:pPr>
    </w:p>
    <w:p w14:paraId="7F56BF90" w14:textId="77777777" w:rsidR="00F766FF" w:rsidRDefault="00F766FF" w:rsidP="00F766FF">
      <w:pPr>
        <w:jc w:val="center"/>
        <w:outlineLvl w:val="1"/>
        <w:rPr>
          <w:rFonts w:eastAsia="STZhongsong"/>
          <w:b/>
          <w:szCs w:val="23"/>
        </w:rPr>
      </w:pPr>
    </w:p>
    <w:p w14:paraId="3DFFEFA6" w14:textId="77777777" w:rsidR="00F766FF" w:rsidRDefault="00F766FF" w:rsidP="00F766FF">
      <w:pPr>
        <w:jc w:val="center"/>
        <w:outlineLvl w:val="1"/>
        <w:rPr>
          <w:rFonts w:eastAsia="STZhongsong"/>
          <w:b/>
          <w:szCs w:val="23"/>
        </w:rPr>
      </w:pPr>
    </w:p>
    <w:p w14:paraId="1E99825B" w14:textId="77777777" w:rsidR="00F766FF" w:rsidRDefault="00F766FF" w:rsidP="00F766FF">
      <w:pPr>
        <w:jc w:val="center"/>
        <w:outlineLvl w:val="1"/>
        <w:rPr>
          <w:rFonts w:eastAsia="STZhongsong"/>
          <w:b/>
          <w:szCs w:val="23"/>
        </w:rPr>
      </w:pPr>
    </w:p>
    <w:p w14:paraId="022AA8BE" w14:textId="77777777" w:rsidR="00F766FF" w:rsidRDefault="00F766FF" w:rsidP="00F766FF">
      <w:pPr>
        <w:jc w:val="center"/>
        <w:outlineLvl w:val="1"/>
        <w:rPr>
          <w:rFonts w:eastAsia="STZhongsong"/>
          <w:b/>
          <w:szCs w:val="23"/>
        </w:rPr>
      </w:pPr>
    </w:p>
    <w:p w14:paraId="39981FAB" w14:textId="77777777" w:rsidR="00F766FF" w:rsidRDefault="00F766FF" w:rsidP="00F766FF">
      <w:pPr>
        <w:jc w:val="center"/>
        <w:outlineLvl w:val="1"/>
        <w:rPr>
          <w:rFonts w:eastAsia="STZhongsong"/>
          <w:b/>
          <w:szCs w:val="23"/>
        </w:rPr>
      </w:pPr>
    </w:p>
    <w:p w14:paraId="1C03C821" w14:textId="623CD356" w:rsidR="00F766FF" w:rsidRDefault="00B11F8A" w:rsidP="00F766FF">
      <w:pPr>
        <w:jc w:val="center"/>
        <w:outlineLvl w:val="1"/>
        <w:rPr>
          <w:rFonts w:eastAsia="STZhongsong"/>
          <w:szCs w:val="23"/>
          <w:lang w:val="en-US"/>
        </w:rPr>
      </w:pPr>
      <w:r>
        <w:rPr>
          <w:rFonts w:eastAsia="STZhongsong"/>
          <w:b/>
          <w:szCs w:val="23"/>
        </w:rPr>
        <w:lastRenderedPageBreak/>
        <w:t>Annex D1</w:t>
      </w:r>
      <w:r w:rsidR="000033D7">
        <w:rPr>
          <w:rFonts w:eastAsia="STZhongsong"/>
          <w:b/>
          <w:szCs w:val="23"/>
        </w:rPr>
        <w:t>B</w:t>
      </w:r>
      <w:r w:rsidR="00F766FF">
        <w:rPr>
          <w:rFonts w:eastAsia="STZhongsong"/>
          <w:b/>
          <w:szCs w:val="23"/>
        </w:rPr>
        <w:t>: MOD</w:t>
      </w:r>
    </w:p>
    <w:p w14:paraId="58215EC5" w14:textId="77777777" w:rsidR="00F766FF" w:rsidRPr="005B615C" w:rsidRDefault="00F766FF" w:rsidP="002F0E0B">
      <w:pPr>
        <w:pStyle w:val="ScheduleL1"/>
        <w:numPr>
          <w:ilvl w:val="0"/>
          <w:numId w:val="33"/>
        </w:numPr>
        <w:rPr>
          <w:rFonts w:ascii="Times New Roman" w:hAnsi="Times New Roman"/>
          <w:szCs w:val="23"/>
          <w:lang w:val="en-US"/>
        </w:rPr>
      </w:pPr>
      <w:r w:rsidRPr="005B615C">
        <w:rPr>
          <w:szCs w:val="23"/>
        </w:rPr>
        <w:t>DEFINITIONS</w:t>
      </w:r>
    </w:p>
    <w:p w14:paraId="133DA208" w14:textId="05309080" w:rsidR="00F766FF" w:rsidRDefault="00F766FF" w:rsidP="00F766FF">
      <w:pPr>
        <w:keepNext/>
        <w:ind w:left="368" w:hanging="11"/>
        <w:outlineLvl w:val="1"/>
        <w:rPr>
          <w:rFonts w:eastAsia="STZhongsong"/>
          <w:szCs w:val="23"/>
          <w:lang w:val="en-US"/>
        </w:rPr>
      </w:pPr>
      <w:r>
        <w:rPr>
          <w:rFonts w:eastAsia="STZhongsong"/>
          <w:szCs w:val="23"/>
          <w:lang w:val="en-US"/>
        </w:rPr>
        <w:t>In this Annex D1</w:t>
      </w:r>
      <w:r w:rsidR="000033D7">
        <w:rPr>
          <w:rFonts w:eastAsia="STZhongsong"/>
          <w:szCs w:val="23"/>
          <w:lang w:val="en-US"/>
        </w:rPr>
        <w:t>B</w:t>
      </w:r>
      <w:r>
        <w:rPr>
          <w:rFonts w:eastAsia="STZhongsong"/>
          <w:szCs w:val="23"/>
          <w:lang w:val="en-US"/>
        </w:rPr>
        <w:t xml:space="preserve">: </w:t>
      </w:r>
      <w:r w:rsidR="00B11F8A">
        <w:rPr>
          <w:rFonts w:eastAsia="STZhongsong"/>
          <w:szCs w:val="23"/>
          <w:lang w:val="en-US"/>
        </w:rPr>
        <w:t>MOD</w:t>
      </w:r>
      <w:r>
        <w:rPr>
          <w:rFonts w:eastAsia="STZhongsong"/>
          <w:szCs w:val="23"/>
          <w:lang w:val="en-US"/>
        </w:rPr>
        <w:t xml:space="preserve"> to Part D: Pensions, the following words have the following meanings and they shall supplement Schedule J1: Definitions:</w:t>
      </w:r>
    </w:p>
    <w:tbl>
      <w:tblPr>
        <w:tblW w:w="9378" w:type="dxa"/>
        <w:tblLayout w:type="fixed"/>
        <w:tblLook w:val="0000" w:firstRow="0" w:lastRow="0" w:firstColumn="0" w:lastColumn="0" w:noHBand="0" w:noVBand="0"/>
      </w:tblPr>
      <w:tblGrid>
        <w:gridCol w:w="2694"/>
        <w:gridCol w:w="6684"/>
      </w:tblGrid>
      <w:tr w:rsidR="00F766FF" w:rsidRPr="00002F67" w14:paraId="3DC51E30" w14:textId="77777777" w:rsidTr="002F0E0B">
        <w:tc>
          <w:tcPr>
            <w:tcW w:w="2694" w:type="dxa"/>
            <w:tcBorders>
              <w:top w:val="nil"/>
              <w:left w:val="nil"/>
              <w:bottom w:val="nil"/>
              <w:right w:val="nil"/>
            </w:tcBorders>
          </w:tcPr>
          <w:p w14:paraId="3E7DC70D" w14:textId="77777777" w:rsidR="00F766FF" w:rsidRDefault="00F766FF" w:rsidP="00F766FF">
            <w:pPr>
              <w:spacing w:before="120" w:after="120"/>
              <w:ind w:left="709"/>
              <w:rPr>
                <w:rFonts w:eastAsia="STZhongsong"/>
                <w:b/>
                <w:color w:val="000000"/>
                <w:szCs w:val="23"/>
              </w:rPr>
            </w:pPr>
          </w:p>
        </w:tc>
        <w:tc>
          <w:tcPr>
            <w:tcW w:w="6684" w:type="dxa"/>
            <w:tcBorders>
              <w:top w:val="nil"/>
              <w:left w:val="nil"/>
              <w:bottom w:val="nil"/>
              <w:right w:val="nil"/>
            </w:tcBorders>
          </w:tcPr>
          <w:p w14:paraId="1B3C6FB6" w14:textId="27B2709B" w:rsidR="00881E8E" w:rsidRPr="002F0E0B" w:rsidRDefault="00F766FF" w:rsidP="002F0E0B">
            <w:r w:rsidRPr="002F0E0B">
              <w:rPr>
                <w:rFonts w:asciiTheme="minorHAnsi" w:hAnsiTheme="minorHAnsi" w:cstheme="minorHAnsi"/>
                <w:b/>
              </w:rPr>
              <w:t xml:space="preserve"> </w:t>
            </w:r>
            <w:r w:rsidR="00881E8E" w:rsidRPr="002F0E0B">
              <w:rPr>
                <w:rFonts w:asciiTheme="minorHAnsi" w:hAnsiTheme="minorHAnsi" w:cstheme="minorHAnsi"/>
                <w:b/>
              </w:rPr>
              <w:t>“Admission Agreement”</w:t>
            </w:r>
            <w:r w:rsidR="00881E8E">
              <w:rPr>
                <w:rFonts w:asciiTheme="minorHAnsi" w:hAnsiTheme="minorHAnsi" w:cstheme="minorHAnsi"/>
              </w:rPr>
              <w:t xml:space="preserve"> </w:t>
            </w:r>
            <w:r w:rsidR="00881E8E" w:rsidRPr="0027505B">
              <w:t xml:space="preserve">means in relation to the Contractor or a Sub-contractor an agreement made (or to be made) between (1) The Minister for the Cabinet Office (2) the Contractor or the Sub-contractor, as the case may be, and (3) the </w:t>
            </w:r>
            <w:r w:rsidR="00881E8E">
              <w:t>Buyer</w:t>
            </w:r>
            <w:r w:rsidR="00881E8E" w:rsidRPr="0027505B">
              <w:t xml:space="preserve"> relating to the participation of the Contractor or the Sub-contractor, as applicable, in the Schemes for the benefit of those of the Former </w:t>
            </w:r>
            <w:r w:rsidR="00881E8E">
              <w:t>Buyer</w:t>
            </w:r>
            <w:r w:rsidR="00881E8E" w:rsidRPr="0027505B">
              <w:t xml:space="preserve"> Employees who are for the time being employed by the Contractor or the Sub-contractor, as applicable, and which is in the form set o</w:t>
            </w:r>
            <w:r w:rsidR="00881E8E">
              <w:t>ut in Annex A to this Schedule.</w:t>
            </w:r>
          </w:p>
          <w:p w14:paraId="78966C49" w14:textId="77777777" w:rsidR="00F766FF" w:rsidRPr="002F0E0B" w:rsidRDefault="00881E8E" w:rsidP="00881E8E">
            <w:pPr>
              <w:tabs>
                <w:tab w:val="left" w:pos="235"/>
              </w:tabs>
              <w:spacing w:before="120" w:after="120"/>
              <w:rPr>
                <w:rFonts w:asciiTheme="minorHAnsi" w:hAnsiTheme="minorHAnsi" w:cstheme="minorHAnsi"/>
              </w:rPr>
            </w:pPr>
            <w:r>
              <w:rPr>
                <w:rFonts w:asciiTheme="minorHAnsi" w:hAnsiTheme="minorHAnsi" w:cstheme="minorHAnsi"/>
              </w:rPr>
              <w:t>“</w:t>
            </w:r>
            <w:r w:rsidR="00F766FF" w:rsidRPr="002F0E0B">
              <w:rPr>
                <w:rFonts w:asciiTheme="minorHAnsi" w:hAnsiTheme="minorHAnsi" w:cstheme="minorHAnsi"/>
                <w:b/>
              </w:rPr>
              <w:t>Active Member</w:t>
            </w:r>
            <w:r w:rsidR="00F766FF" w:rsidRPr="002F0E0B">
              <w:rPr>
                <w:rFonts w:asciiTheme="minorHAnsi" w:hAnsiTheme="minorHAnsi" w:cstheme="minorHAnsi"/>
              </w:rPr>
              <w:t xml:space="preserve">” means an individual who has been admitted to and remains in active membership of any of the Schemes. </w:t>
            </w:r>
          </w:p>
        </w:tc>
      </w:tr>
      <w:tr w:rsidR="00F766FF" w:rsidRPr="00002F67" w14:paraId="6E5B3FF5" w14:textId="77777777" w:rsidTr="002F0E0B">
        <w:tc>
          <w:tcPr>
            <w:tcW w:w="2694" w:type="dxa"/>
            <w:tcBorders>
              <w:top w:val="nil"/>
              <w:left w:val="nil"/>
              <w:bottom w:val="nil"/>
              <w:right w:val="nil"/>
            </w:tcBorders>
          </w:tcPr>
          <w:p w14:paraId="4E23E00B" w14:textId="77777777" w:rsidR="00F766FF" w:rsidRDefault="00F766FF" w:rsidP="00F766FF">
            <w:pPr>
              <w:spacing w:before="120" w:after="120"/>
              <w:ind w:left="709"/>
              <w:rPr>
                <w:rFonts w:eastAsia="STZhongsong"/>
                <w:b/>
                <w:color w:val="000000"/>
                <w:szCs w:val="23"/>
              </w:rPr>
            </w:pPr>
          </w:p>
        </w:tc>
        <w:tc>
          <w:tcPr>
            <w:tcW w:w="6684" w:type="dxa"/>
            <w:tcBorders>
              <w:top w:val="nil"/>
              <w:left w:val="nil"/>
              <w:bottom w:val="nil"/>
              <w:right w:val="nil"/>
            </w:tcBorders>
          </w:tcPr>
          <w:p w14:paraId="5156E036" w14:textId="77777777" w:rsidR="00F766FF" w:rsidRPr="002F0E0B" w:rsidRDefault="00B11F8A" w:rsidP="00F766FF">
            <w:pPr>
              <w:tabs>
                <w:tab w:val="num" w:pos="34"/>
              </w:tabs>
              <w:spacing w:before="120" w:after="120"/>
              <w:rPr>
                <w:rFonts w:asciiTheme="minorHAnsi" w:hAnsiTheme="minorHAnsi" w:cstheme="minorHAnsi"/>
              </w:rPr>
            </w:pPr>
            <w:r w:rsidRPr="00B11F8A">
              <w:rPr>
                <w:rFonts w:asciiTheme="minorHAnsi" w:hAnsiTheme="minorHAnsi" w:cstheme="minorHAnsi"/>
                <w:b/>
              </w:rPr>
              <w:t>“A</w:t>
            </w:r>
            <w:r w:rsidR="00F766FF" w:rsidRPr="002F0E0B">
              <w:rPr>
                <w:rFonts w:asciiTheme="minorHAnsi" w:hAnsiTheme="minorHAnsi" w:cstheme="minorHAnsi"/>
                <w:b/>
              </w:rPr>
              <w:t>lpha”</w:t>
            </w:r>
            <w:r w:rsidR="00F766FF" w:rsidRPr="002F0E0B">
              <w:rPr>
                <w:rFonts w:asciiTheme="minorHAnsi" w:hAnsiTheme="minorHAnsi" w:cstheme="minorHAnsi"/>
              </w:rPr>
              <w:t xml:space="preserve"> means the public service pension scheme for civil servants established under the Public Services Pensions Act 2013 introduced with effect on and from 1 April 2015 (and includes, unless the context otherwise requires, any successor scheme).</w:t>
            </w:r>
          </w:p>
          <w:p w14:paraId="0CE445C5" w14:textId="77777777" w:rsidR="00F766FF" w:rsidRPr="002F0E0B" w:rsidRDefault="00F766FF" w:rsidP="00F766FF">
            <w:pPr>
              <w:rPr>
                <w:rFonts w:asciiTheme="minorHAnsi" w:hAnsiTheme="minorHAnsi" w:cstheme="minorHAnsi"/>
              </w:rPr>
            </w:pPr>
            <w:r w:rsidRPr="002F0E0B">
              <w:rPr>
                <w:rFonts w:asciiTheme="minorHAnsi" w:hAnsiTheme="minorHAnsi" w:cstheme="minorHAnsi"/>
              </w:rPr>
              <w:t>“</w:t>
            </w:r>
            <w:r w:rsidRPr="002F0E0B">
              <w:rPr>
                <w:rFonts w:asciiTheme="minorHAnsi" w:hAnsiTheme="minorHAnsi" w:cstheme="minorHAnsi"/>
                <w:b/>
              </w:rPr>
              <w:t>Former Buyer Employee</w:t>
            </w:r>
            <w:r w:rsidRPr="002F0E0B">
              <w:rPr>
                <w:rFonts w:asciiTheme="minorHAnsi" w:hAnsiTheme="minorHAnsi" w:cstheme="minorHAnsi"/>
              </w:rPr>
              <w:t xml:space="preserve">” means at any time any person whose employment with the Buyer is transferred to the Contractor or a Sub-contractor pursuant to the Employment Regulations and/or any person who is an ex-employee of the Buyer and whose employment with a </w:t>
            </w:r>
            <w:r w:rsidR="009E51CD">
              <w:rPr>
                <w:rFonts w:asciiTheme="minorHAnsi" w:hAnsiTheme="minorHAnsi" w:cstheme="minorHAnsi"/>
              </w:rPr>
              <w:t>Former</w:t>
            </w:r>
            <w:r w:rsidRPr="002F0E0B">
              <w:rPr>
                <w:rFonts w:asciiTheme="minorHAnsi" w:hAnsiTheme="minorHAnsi" w:cstheme="minorHAnsi"/>
              </w:rPr>
              <w:t xml:space="preserve"> Supplier is transferred to the Supplier or a Sub-contractor pursuant to the Employment Regulations</w:t>
            </w:r>
            <w:r w:rsidRPr="002F0E0B">
              <w:rPr>
                <w:rFonts w:asciiTheme="minorHAnsi" w:hAnsiTheme="minorHAnsi" w:cstheme="minorHAnsi"/>
                <w:b/>
                <w:i/>
              </w:rPr>
              <w:t xml:space="preserve"> </w:t>
            </w:r>
            <w:r w:rsidRPr="002F0E0B">
              <w:rPr>
                <w:rFonts w:asciiTheme="minorHAnsi" w:hAnsiTheme="minorHAnsi" w:cstheme="minorHAnsi"/>
              </w:rPr>
              <w:t xml:space="preserve">and who is for the time being employed by the Supplier or a Sub-contractor provided that since such person was employed by the Buyer </w:t>
            </w:r>
            <w:bookmarkStart w:id="101" w:name="DocXTextRef283"/>
            <w:r w:rsidRPr="002F0E0B">
              <w:rPr>
                <w:rFonts w:asciiTheme="minorHAnsi" w:hAnsiTheme="minorHAnsi" w:cstheme="minorHAnsi"/>
              </w:rPr>
              <w:t>(a)</w:t>
            </w:r>
            <w:bookmarkEnd w:id="101"/>
            <w:r w:rsidRPr="002F0E0B">
              <w:rPr>
                <w:rFonts w:asciiTheme="minorHAnsi" w:hAnsiTheme="minorHAnsi" w:cstheme="minorHAnsi"/>
              </w:rPr>
              <w:t xml:space="preserve"> he has not ceased to be eligible for membership of the Schemes; and </w:t>
            </w:r>
            <w:bookmarkStart w:id="102" w:name="DocXTextRef284"/>
            <w:r w:rsidRPr="002F0E0B">
              <w:rPr>
                <w:rFonts w:asciiTheme="minorHAnsi" w:hAnsiTheme="minorHAnsi" w:cstheme="minorHAnsi"/>
              </w:rPr>
              <w:t>(b)</w:t>
            </w:r>
            <w:bookmarkEnd w:id="102"/>
            <w:r w:rsidRPr="002F0E0B">
              <w:rPr>
                <w:rFonts w:asciiTheme="minorHAnsi" w:hAnsiTheme="minorHAnsi" w:cstheme="minorHAnsi"/>
              </w:rPr>
              <w:t xml:space="preserve"> any change in his employer has been effected pursuant to the Employment Regulations;</w:t>
            </w:r>
          </w:p>
          <w:p w14:paraId="2C555B5A" w14:textId="77777777" w:rsidR="00F766FF" w:rsidRDefault="00B11F8A" w:rsidP="00F766FF">
            <w:pPr>
              <w:rPr>
                <w:rFonts w:asciiTheme="minorHAnsi" w:hAnsiTheme="minorHAnsi" w:cstheme="minorHAnsi"/>
              </w:rPr>
            </w:pPr>
            <w:r w:rsidRPr="00B11F8A">
              <w:rPr>
                <w:rFonts w:asciiTheme="minorHAnsi" w:hAnsiTheme="minorHAnsi" w:cstheme="minorHAnsi"/>
                <w:b/>
              </w:rPr>
              <w:t xml:space="preserve"> </w:t>
            </w:r>
            <w:r w:rsidR="00F766FF" w:rsidRPr="002F0E0B">
              <w:rPr>
                <w:rFonts w:asciiTheme="minorHAnsi" w:hAnsiTheme="minorHAnsi" w:cstheme="minorHAnsi"/>
                <w:b/>
              </w:rPr>
              <w:t>“Employer Contributions”</w:t>
            </w:r>
            <w:r w:rsidR="00F766FF" w:rsidRPr="002F0E0B">
              <w:rPr>
                <w:rFonts w:asciiTheme="minorHAnsi" w:hAnsiTheme="minorHAnsi" w:cstheme="minorHAnsi"/>
              </w:rPr>
              <w:t xml:space="preserve"> means the sums which are payable to the Pension Schemes in accordance with clauses 7.1.5, 7.1.7, 7.1.8 and 7.2 of the Admission Agreement in respect of the Former Buyer Employees, whether</w:t>
            </w:r>
            <w:r w:rsidRPr="00B11F8A">
              <w:rPr>
                <w:rFonts w:asciiTheme="minorHAnsi" w:hAnsiTheme="minorHAnsi" w:cstheme="minorHAnsi"/>
              </w:rPr>
              <w:t xml:space="preserve"> by the Supplier or </w:t>
            </w:r>
            <w:r w:rsidR="00F766FF" w:rsidRPr="002F0E0B">
              <w:rPr>
                <w:rFonts w:asciiTheme="minorHAnsi" w:hAnsiTheme="minorHAnsi" w:cstheme="minorHAnsi"/>
              </w:rPr>
              <w:t>a Sub-contractor. For the avoidance of doubt, the employee redundancy compensation payment amount which is taken into account under clause 7.2 of the Admission Agreement is not included as part of the pass-through u</w:t>
            </w:r>
            <w:r w:rsidRPr="00B11F8A">
              <w:rPr>
                <w:rFonts w:asciiTheme="minorHAnsi" w:hAnsiTheme="minorHAnsi" w:cstheme="minorHAnsi"/>
              </w:rPr>
              <w:t xml:space="preserve">nder paragraph 2.1.4. </w:t>
            </w:r>
          </w:p>
          <w:p w14:paraId="619E5BCB" w14:textId="77777777" w:rsidR="003E0F28" w:rsidRDefault="003E0F28" w:rsidP="00F766FF">
            <w:r w:rsidRPr="0027505B">
              <w:t>“</w:t>
            </w:r>
            <w:r>
              <w:rPr>
                <w:b/>
              </w:rPr>
              <w:t>Employment Regulations</w:t>
            </w:r>
            <w:r w:rsidRPr="0027505B">
              <w:t>” means the means the Transfer of Undertakings (Protection of Employment) Regulations 2006 as amended from time to time and/or the Service Provision Change (Protection of Employment) Regulations (Northern Ireland) 2006 (as amended from time to time), as appropriate .</w:t>
            </w:r>
          </w:p>
          <w:p w14:paraId="5A9DA4A7" w14:textId="77777777" w:rsidR="00F10D4E" w:rsidRPr="002F0E0B" w:rsidRDefault="00F10D4E" w:rsidP="00F766FF">
            <w:pPr>
              <w:rPr>
                <w:rFonts w:asciiTheme="minorHAnsi" w:hAnsiTheme="minorHAnsi" w:cstheme="minorHAnsi"/>
              </w:rPr>
            </w:pPr>
          </w:p>
          <w:p w14:paraId="6CC284EA" w14:textId="77777777" w:rsidR="00F766FF" w:rsidRDefault="00F766FF" w:rsidP="00F766FF">
            <w:pPr>
              <w:rPr>
                <w:rFonts w:asciiTheme="minorHAnsi" w:hAnsiTheme="minorHAnsi" w:cstheme="minorHAnsi"/>
              </w:rPr>
            </w:pPr>
            <w:r w:rsidRPr="002F0E0B">
              <w:rPr>
                <w:rFonts w:asciiTheme="minorHAnsi" w:hAnsiTheme="minorHAnsi" w:cstheme="minorHAnsi"/>
              </w:rPr>
              <w:lastRenderedPageBreak/>
              <w:t>“</w:t>
            </w:r>
            <w:r w:rsidRPr="002F0E0B">
              <w:rPr>
                <w:rFonts w:asciiTheme="minorHAnsi" w:hAnsiTheme="minorHAnsi" w:cstheme="minorHAnsi"/>
                <w:b/>
              </w:rPr>
              <w:t>Pension Schemes</w:t>
            </w:r>
            <w:r w:rsidRPr="002F0E0B">
              <w:rPr>
                <w:rFonts w:asciiTheme="minorHAnsi" w:hAnsiTheme="minorHAnsi" w:cstheme="minorHAnsi"/>
              </w:rPr>
              <w:t xml:space="preserve">” means alpha and/or the </w:t>
            </w:r>
            <w:r w:rsidR="00B11F8A">
              <w:rPr>
                <w:rFonts w:asciiTheme="minorHAnsi" w:hAnsiTheme="minorHAnsi" w:cstheme="minorHAnsi"/>
              </w:rPr>
              <w:t>C</w:t>
            </w:r>
            <w:r w:rsidRPr="002F0E0B">
              <w:rPr>
                <w:rFonts w:asciiTheme="minorHAnsi" w:hAnsiTheme="minorHAnsi" w:cstheme="minorHAnsi"/>
              </w:rPr>
              <w:t>SPS whichever is or are relevant in the context (and includes, unless the context otherwise requires, the respective managers from time to time of such sch</w:t>
            </w:r>
            <w:r w:rsidR="003E0F28">
              <w:rPr>
                <w:rFonts w:asciiTheme="minorHAnsi" w:hAnsiTheme="minorHAnsi" w:cstheme="minorHAnsi"/>
              </w:rPr>
              <w:t>eme or scheme</w:t>
            </w:r>
          </w:p>
          <w:p w14:paraId="17C09714" w14:textId="77777777" w:rsidR="00F766FF" w:rsidRPr="002F0E0B" w:rsidRDefault="00F766FF" w:rsidP="009E51CD">
            <w:pPr>
              <w:rPr>
                <w:rFonts w:asciiTheme="minorHAnsi" w:hAnsiTheme="minorHAnsi" w:cstheme="minorHAnsi"/>
              </w:rPr>
            </w:pPr>
            <w:r w:rsidRPr="002F0E0B">
              <w:rPr>
                <w:rFonts w:asciiTheme="minorHAnsi" w:hAnsiTheme="minorHAnsi" w:cstheme="minorHAnsi"/>
              </w:rPr>
              <w:t>“</w:t>
            </w:r>
            <w:r w:rsidRPr="002F0E0B">
              <w:rPr>
                <w:rFonts w:asciiTheme="minorHAnsi" w:hAnsiTheme="minorHAnsi" w:cstheme="minorHAnsi"/>
                <w:b/>
              </w:rPr>
              <w:t>Relevant Benefits</w:t>
            </w:r>
            <w:r w:rsidRPr="002F0E0B">
              <w:rPr>
                <w:rFonts w:asciiTheme="minorHAnsi" w:hAnsiTheme="minorHAnsi" w:cstheme="minorHAnsi"/>
              </w:rPr>
              <w:t>” means any benefit payable on retirement, on death, on reaching a particular age, on the onset of serious ill-health or incapacity or in similar circumstances (including the provision of medical, dental or similar benefits).</w:t>
            </w:r>
          </w:p>
          <w:p w14:paraId="52708E7D" w14:textId="77777777" w:rsidR="00F766FF" w:rsidRPr="002F0E0B" w:rsidRDefault="00F766FF" w:rsidP="00F766FF">
            <w:pPr>
              <w:rPr>
                <w:rFonts w:asciiTheme="minorHAnsi" w:hAnsiTheme="minorHAnsi" w:cstheme="minorHAnsi"/>
              </w:rPr>
            </w:pPr>
            <w:r w:rsidRPr="002F0E0B">
              <w:rPr>
                <w:rFonts w:asciiTheme="minorHAnsi" w:hAnsiTheme="minorHAnsi" w:cstheme="minorHAnsi"/>
              </w:rPr>
              <w:t>“</w:t>
            </w:r>
            <w:r w:rsidRPr="002F0E0B">
              <w:rPr>
                <w:rFonts w:asciiTheme="minorHAnsi" w:hAnsiTheme="minorHAnsi" w:cstheme="minorHAnsi"/>
                <w:b/>
              </w:rPr>
              <w:t>Schemes</w:t>
            </w:r>
            <w:r w:rsidR="009E51CD" w:rsidRPr="009E51CD">
              <w:rPr>
                <w:rFonts w:asciiTheme="minorHAnsi" w:hAnsiTheme="minorHAnsi" w:cstheme="minorHAnsi"/>
              </w:rPr>
              <w:t xml:space="preserve">” means the </w:t>
            </w:r>
            <w:r w:rsidRPr="002F0E0B">
              <w:rPr>
                <w:rFonts w:asciiTheme="minorHAnsi" w:hAnsiTheme="minorHAnsi" w:cstheme="minorHAnsi"/>
              </w:rPr>
              <w:t>CSPS, the Partnership Pension Account and its (</w:t>
            </w:r>
            <w:proofErr w:type="spellStart"/>
            <w:r w:rsidRPr="002F0E0B">
              <w:rPr>
                <w:rFonts w:asciiTheme="minorHAnsi" w:hAnsiTheme="minorHAnsi" w:cstheme="minorHAnsi"/>
              </w:rPr>
              <w:t>i</w:t>
            </w:r>
            <w:proofErr w:type="spellEnd"/>
            <w:r w:rsidRPr="002F0E0B">
              <w:rPr>
                <w:rFonts w:asciiTheme="minorHAnsi" w:hAnsiTheme="minorHAnsi" w:cstheme="minorHAnsi"/>
              </w:rPr>
              <w:t xml:space="preserve">) Ill-health Benefits Scheme and (ii) Death Benefits Scheme, the Civil Service Additional Voluntary Contribution Scheme, and alpha each as amended or replaced from time to time, or such one of them as is or are relevant in context. Any reference to the Schemes includes, unless the context otherwise requires, a reference to the respective managers from time to time of the Schemes.  </w:t>
            </w:r>
          </w:p>
          <w:p w14:paraId="43174267" w14:textId="77777777" w:rsidR="00F766FF" w:rsidRPr="002F0E0B" w:rsidRDefault="00F766FF" w:rsidP="002F0E0B">
            <w:pPr>
              <w:pStyle w:val="Body"/>
              <w:rPr>
                <w:rFonts w:asciiTheme="minorHAnsi" w:eastAsia="STZhongsong" w:hAnsiTheme="minorHAnsi" w:cstheme="minorHAnsi"/>
                <w:color w:val="000000"/>
                <w:szCs w:val="22"/>
              </w:rPr>
            </w:pPr>
          </w:p>
        </w:tc>
      </w:tr>
      <w:tr w:rsidR="00F10D4E" w:rsidRPr="00002F67" w14:paraId="40CF12B6" w14:textId="77777777" w:rsidTr="00B11F8A">
        <w:tc>
          <w:tcPr>
            <w:tcW w:w="2694" w:type="dxa"/>
            <w:tcBorders>
              <w:top w:val="nil"/>
              <w:left w:val="nil"/>
              <w:bottom w:val="nil"/>
              <w:right w:val="nil"/>
            </w:tcBorders>
          </w:tcPr>
          <w:p w14:paraId="3DB19257" w14:textId="77777777" w:rsidR="00F10D4E" w:rsidRDefault="00F10D4E" w:rsidP="00F766FF">
            <w:pPr>
              <w:spacing w:before="120" w:after="120"/>
              <w:ind w:left="709"/>
              <w:rPr>
                <w:rFonts w:eastAsia="STZhongsong"/>
                <w:b/>
                <w:color w:val="000000"/>
                <w:szCs w:val="23"/>
              </w:rPr>
            </w:pPr>
          </w:p>
        </w:tc>
        <w:tc>
          <w:tcPr>
            <w:tcW w:w="6684" w:type="dxa"/>
            <w:tcBorders>
              <w:top w:val="nil"/>
              <w:left w:val="nil"/>
              <w:bottom w:val="nil"/>
              <w:right w:val="nil"/>
            </w:tcBorders>
          </w:tcPr>
          <w:p w14:paraId="6047E2A7" w14:textId="77777777" w:rsidR="00F10D4E" w:rsidRPr="00B11F8A" w:rsidRDefault="00F10D4E" w:rsidP="00F766FF">
            <w:pPr>
              <w:tabs>
                <w:tab w:val="num" w:pos="34"/>
              </w:tabs>
              <w:spacing w:before="120" w:after="120"/>
              <w:rPr>
                <w:rFonts w:asciiTheme="minorHAnsi" w:hAnsiTheme="minorHAnsi" w:cstheme="minorHAnsi"/>
                <w:b/>
              </w:rPr>
            </w:pPr>
          </w:p>
        </w:tc>
      </w:tr>
    </w:tbl>
    <w:p w14:paraId="138797D3" w14:textId="77777777" w:rsidR="009E51EF" w:rsidRDefault="009E51EF" w:rsidP="002F0E0B">
      <w:pPr>
        <w:pStyle w:val="ScheduleL1"/>
      </w:pPr>
      <w:r>
        <w:t>new fair deal pensions</w:t>
      </w:r>
    </w:p>
    <w:p w14:paraId="630D9520" w14:textId="5978AB9A" w:rsidR="009E51CD" w:rsidRDefault="009E51CD" w:rsidP="009E51EF">
      <w:pPr>
        <w:pStyle w:val="ScheduleL2"/>
      </w:pPr>
      <w:r>
        <w:t>The Supplier shall:</w:t>
      </w:r>
    </w:p>
    <w:p w14:paraId="1B1ED1A2" w14:textId="77777777" w:rsidR="009E51CD" w:rsidRPr="002F0E0B" w:rsidRDefault="00F766FF" w:rsidP="002F0E0B">
      <w:pPr>
        <w:pStyle w:val="ScheduleL3"/>
        <w:rPr>
          <w:szCs w:val="24"/>
        </w:rPr>
      </w:pPr>
      <w:r w:rsidRPr="002F0E0B">
        <w:t>comply with the Admission Agreement to which it is a party and shall not terminate the Admission Agreement while the Supplier is providing any of the Deliverables;</w:t>
      </w:r>
    </w:p>
    <w:p w14:paraId="085CE1A3" w14:textId="77777777" w:rsidR="00F766FF" w:rsidRPr="002F0E0B" w:rsidRDefault="00F766FF" w:rsidP="002F0E0B">
      <w:pPr>
        <w:pStyle w:val="ScheduleL3"/>
        <w:rPr>
          <w:szCs w:val="24"/>
        </w:rPr>
      </w:pPr>
      <w:r w:rsidRPr="002F0E0B">
        <w:t>ensure that on each occasion (including, but without limitation, on the termination of a contract between the Supplier and a Sub-contractor) any Former Buyer Employee becomes an employee of the Supplier pursuant to the Employment Regulations (and the date upon which he becomes such an employee is called the “Employment Date”) the Former Buyer Employee if not already an Active Member of the Pension Schemes becomes such an Active Member with effect as on and from the Employment Date provided that this is permitted under the terms of the Pension Schemes and the Admission Agreement as applicable; and</w:t>
      </w:r>
    </w:p>
    <w:p w14:paraId="6E48DD04" w14:textId="69BE2F5C" w:rsidR="00F766FF" w:rsidRPr="009E51CD" w:rsidRDefault="00F766FF" w:rsidP="002F0E0B">
      <w:pPr>
        <w:pStyle w:val="ScheduleL3"/>
        <w:rPr>
          <w:szCs w:val="24"/>
        </w:rPr>
      </w:pPr>
      <w:r w:rsidRPr="002F0E0B">
        <w:t xml:space="preserve">ensure that in relation to each Former Buyer Employee who immediately prior to the Employment Date is an Active Member or who becomes an Active Member with effect from that date and for so long as the Former Buyer Employee is employed by the Supplier and is assigned to or otherwise engaged at least to the minimum extent specified in the Admission Agreement in the provision of the </w:t>
      </w:r>
      <w:r w:rsidR="00452610">
        <w:t xml:space="preserve">Deliverables </w:t>
      </w:r>
      <w:r w:rsidRPr="002F0E0B">
        <w:t>or any of them:</w:t>
      </w:r>
    </w:p>
    <w:p w14:paraId="7C53C222" w14:textId="77777777" w:rsidR="009E51CD" w:rsidRDefault="009E51CD" w:rsidP="002F0E0B">
      <w:pPr>
        <w:pStyle w:val="ScheduleL4"/>
      </w:pPr>
      <w:r w:rsidRPr="00374EFB">
        <w:t>it is an express term of the contract of employment of the Former Buyer Employee with the Supplier that the Supplier shall ensure that (subject to the terms from time to time of the Schemes and the Admission Agreement) the Former Buyer Employee may be and may continue to be an Active Member; and</w:t>
      </w:r>
    </w:p>
    <w:p w14:paraId="344B90E8" w14:textId="77777777" w:rsidR="00F766FF" w:rsidRPr="002F0E0B" w:rsidRDefault="00F766FF" w:rsidP="002F0E0B">
      <w:pPr>
        <w:pStyle w:val="ScheduleL4"/>
      </w:pPr>
      <w:r w:rsidRPr="002F0E0B">
        <w:rPr>
          <w:rFonts w:asciiTheme="minorHAnsi" w:hAnsiTheme="minorHAnsi" w:cstheme="minorHAnsi"/>
          <w:szCs w:val="22"/>
        </w:rPr>
        <w:lastRenderedPageBreak/>
        <w:t>each such Former Buyer Employee is able to be and remain such an Active Member;</w:t>
      </w:r>
    </w:p>
    <w:p w14:paraId="5202E62D" w14:textId="77777777" w:rsidR="00F766FF" w:rsidRDefault="00F766FF" w:rsidP="002F0E0B">
      <w:pPr>
        <w:pStyle w:val="ScheduleL3"/>
      </w:pPr>
      <w:r w:rsidRPr="002F0E0B">
        <w:t xml:space="preserve">The Supplier agrees that the Employer Contributions shall be priced on a pass-through basis in accordance with Paragraph 3 (Pass through costs) of Call-Off Schedule 5 (Call </w:t>
      </w:r>
      <w:proofErr w:type="gramStart"/>
      <w:r w:rsidRPr="002F0E0B">
        <w:t>Off</w:t>
      </w:r>
      <w:proofErr w:type="gramEnd"/>
      <w:r w:rsidRPr="002F0E0B">
        <w:t xml:space="preserve"> Pricing).</w:t>
      </w:r>
    </w:p>
    <w:p w14:paraId="54453AA4" w14:textId="77777777" w:rsidR="00F766FF" w:rsidRPr="002F0E0B" w:rsidRDefault="00F766FF" w:rsidP="002F0E0B">
      <w:pPr>
        <w:pStyle w:val="ScheduleL3"/>
      </w:pPr>
      <w:r w:rsidRPr="002F0E0B">
        <w:rPr>
          <w:rFonts w:asciiTheme="minorHAnsi" w:hAnsiTheme="minorHAnsi" w:cstheme="minorHAnsi"/>
          <w:szCs w:val="22"/>
        </w:rPr>
        <w:t>If it is in arrears in respect of any contributions due to the Schemes in respect of any Former Buyer Employee, agree (which agreement the Supplier hereby irrevocably gives) that the Buyer may deduct an amount equal to that which is overdue from any monies due to the Supplier and pay that amount to the relevant Scheme.</w:t>
      </w:r>
    </w:p>
    <w:p w14:paraId="7EE78DCD" w14:textId="53E80A84" w:rsidR="00003323" w:rsidRPr="002F0E0B" w:rsidRDefault="00003323" w:rsidP="002F0E0B">
      <w:pPr>
        <w:pStyle w:val="ScheduleL3"/>
      </w:pPr>
      <w:r w:rsidRPr="00374EFB">
        <w:rPr>
          <w:rFonts w:asciiTheme="minorHAnsi" w:hAnsiTheme="minorHAnsi" w:cstheme="minorHAnsi"/>
          <w:szCs w:val="22"/>
        </w:rPr>
        <w:t xml:space="preserve">The Supplier shall ensure that no Sub-contractor by whom any of the Former Buyer Employees become employed pursuant to the Employment Regulations is appointed unless the contract under which the Sub-contractor is to provide any of the </w:t>
      </w:r>
      <w:r w:rsidR="0034122F">
        <w:rPr>
          <w:rFonts w:asciiTheme="minorHAnsi" w:hAnsiTheme="minorHAnsi" w:cstheme="minorHAnsi"/>
          <w:szCs w:val="22"/>
        </w:rPr>
        <w:t>Deliverables</w:t>
      </w:r>
      <w:r w:rsidR="00452610">
        <w:rPr>
          <w:rFonts w:asciiTheme="minorHAnsi" w:hAnsiTheme="minorHAnsi" w:cstheme="minorHAnsi"/>
          <w:szCs w:val="22"/>
        </w:rPr>
        <w:t xml:space="preserve"> </w:t>
      </w:r>
      <w:r w:rsidRPr="00374EFB">
        <w:rPr>
          <w:rFonts w:asciiTheme="minorHAnsi" w:hAnsiTheme="minorHAnsi" w:cstheme="minorHAnsi"/>
          <w:szCs w:val="22"/>
        </w:rPr>
        <w:t>(the “Contract”) contains terms which provide for the following:</w:t>
      </w:r>
      <w:bookmarkStart w:id="103" w:name="_Ref361402716"/>
    </w:p>
    <w:p w14:paraId="1437E4B7" w14:textId="77777777" w:rsidR="00003323" w:rsidRPr="002F0E0B" w:rsidRDefault="00F766FF" w:rsidP="002F0E0B">
      <w:pPr>
        <w:pStyle w:val="ScheduleL4"/>
      </w:pPr>
      <w:r w:rsidRPr="002F0E0B">
        <w:t>a condition precedent (which may not be waived) to such contract becoming effective is that there is in force an Admission Agreement between (1) The Minister for the Cabinet Office (2) the Sub-contractor, and (3) the Buyer;</w:t>
      </w:r>
    </w:p>
    <w:p w14:paraId="3F4E020B" w14:textId="1F23E34D" w:rsidR="00003323" w:rsidRDefault="00F766FF" w:rsidP="002F0E0B">
      <w:pPr>
        <w:pStyle w:val="ScheduleL4"/>
      </w:pPr>
      <w:r w:rsidRPr="002F0E0B">
        <w:t xml:space="preserve">the Sub-contractor must at all material times comply with the Admission Agreement and will not terminate the Admission Agreement while the Sub-contractor is providing any of the </w:t>
      </w:r>
      <w:r w:rsidR="00452610">
        <w:t>Deliverable</w:t>
      </w:r>
      <w:r w:rsidR="0034122F">
        <w:t>s</w:t>
      </w:r>
      <w:r w:rsidRPr="002F0E0B">
        <w:t>;</w:t>
      </w:r>
    </w:p>
    <w:p w14:paraId="2EB1375D" w14:textId="77777777" w:rsidR="00003323" w:rsidRPr="002F0E0B" w:rsidRDefault="00F766FF" w:rsidP="002F0E0B">
      <w:pPr>
        <w:pStyle w:val="ScheduleL4"/>
      </w:pPr>
      <w:r w:rsidRPr="002F0E0B">
        <w:rPr>
          <w:rFonts w:asciiTheme="minorHAnsi" w:hAnsiTheme="minorHAnsi" w:cstheme="minorHAnsi"/>
          <w:szCs w:val="22"/>
        </w:rPr>
        <w:t>a breach of the Admission Agreement which is not capable of remedy or which if it is capable of remedy is not remedied within [10] Business Days of the Sub-contractor being given notice of such breach by the Schemes, the Minister for the Cabinet Office (in respect of the Admission Agreement) or the Buyer is an event of default by the Sub-contractor enabling the other party to the Contract to terminate the Contract or the Supplier to terminate the Sub-contract (which the Supplier undertakes to the Buyer to do if directed to do so by the Buyer) immediately on the giving of notice and no notice to waive the event of default or which states that termination is not immediate and reserves a future right to terminate may be given without the consent in writing of the Buyer;</w:t>
      </w:r>
    </w:p>
    <w:p w14:paraId="5FA5BCAE" w14:textId="77777777" w:rsidR="00003323" w:rsidRPr="002F0E0B" w:rsidRDefault="00F766FF" w:rsidP="002F0E0B">
      <w:pPr>
        <w:pStyle w:val="ScheduleL4"/>
      </w:pPr>
      <w:r w:rsidRPr="002F0E0B">
        <w:rPr>
          <w:rFonts w:asciiTheme="minorHAnsi" w:hAnsiTheme="minorHAnsi" w:cstheme="minorHAnsi"/>
          <w:szCs w:val="22"/>
        </w:rPr>
        <w:t>on each occasion (including, but without limitation, the termination of any contract pursuant to which the Sub-contractor sub-subcontracts the provisions of any of the Services) any Former Buyer Employee becomes an employee of the Sub-contractor pursuant to the Employment Regulations the Former Buyer Employee shall if he is not already an Active Member of the Pension Schemes become such an Active Member with effect as on and from the date upon which he becomes such an employee provided that this is permitted under the terms of the Pension Schemes and the Admission Agreement;</w:t>
      </w:r>
    </w:p>
    <w:p w14:paraId="74444D81" w14:textId="77777777" w:rsidR="00003323" w:rsidRPr="002F0E0B" w:rsidRDefault="00F766FF" w:rsidP="002F0E0B">
      <w:pPr>
        <w:pStyle w:val="ScheduleL4"/>
      </w:pPr>
      <w:r w:rsidRPr="002F0E0B">
        <w:rPr>
          <w:rFonts w:asciiTheme="minorHAnsi" w:hAnsiTheme="minorHAnsi" w:cstheme="minorHAnsi"/>
          <w:szCs w:val="22"/>
        </w:rPr>
        <w:t xml:space="preserve">on each such occasion the Sub-contractor must make it a term of the contract of employment of each Former Buyer Employee employed </w:t>
      </w:r>
      <w:r w:rsidRPr="002F0E0B">
        <w:rPr>
          <w:rFonts w:asciiTheme="minorHAnsi" w:hAnsiTheme="minorHAnsi" w:cstheme="minorHAnsi"/>
          <w:szCs w:val="22"/>
        </w:rPr>
        <w:lastRenderedPageBreak/>
        <w:t xml:space="preserve">by the Sub-contractor that the Sub-contractor must ensure that the Former Buyer Employee may be an Active Member at all times he is assigned to or otherwise engaged at least to the minimum extent specified in the Admission Agreement in the provision of any of the Services (subject to the terms of the Schemes from time to time and the Admission Agreement);  </w:t>
      </w:r>
    </w:p>
    <w:p w14:paraId="7B5E3616" w14:textId="79711706" w:rsidR="00003323" w:rsidRPr="002F0E0B" w:rsidRDefault="00F766FF" w:rsidP="002F0E0B">
      <w:pPr>
        <w:pStyle w:val="ScheduleL4"/>
      </w:pPr>
      <w:r w:rsidRPr="002F0E0B">
        <w:rPr>
          <w:rFonts w:asciiTheme="minorHAnsi" w:hAnsiTheme="minorHAnsi" w:cstheme="minorHAnsi"/>
          <w:szCs w:val="22"/>
        </w:rPr>
        <w:t xml:space="preserve">any contract pursuant to which the Sub-contractor sub-contracts to another person (the “Sub-Sub-contractor”) and which results in any Former Buyer Employer becoming an employee of the Sub-Sub-contractor pursuant to the Employment Regulations must contain the same terms as must be included in the Sub-contractor’s contract in accordance with this paragraph </w:t>
      </w:r>
      <w:r w:rsidR="00452610">
        <w:rPr>
          <w:rFonts w:asciiTheme="minorHAnsi" w:hAnsiTheme="minorHAnsi" w:cstheme="minorHAnsi"/>
          <w:szCs w:val="22"/>
        </w:rPr>
        <w:t xml:space="preserve">2.1.6 </w:t>
      </w:r>
      <w:r w:rsidRPr="002F0E0B">
        <w:rPr>
          <w:rFonts w:asciiTheme="minorHAnsi" w:hAnsiTheme="minorHAnsi" w:cstheme="minorHAnsi"/>
          <w:szCs w:val="22"/>
        </w:rPr>
        <w:t xml:space="preserve"> and such contract shall not take effect unless and until there is in force an Admission Agreement to which the Sub-Sub-contractor is a party; and</w:t>
      </w:r>
    </w:p>
    <w:p w14:paraId="684DDD4E" w14:textId="0AB1221A" w:rsidR="00003323" w:rsidRPr="002F0E0B" w:rsidRDefault="00F766FF" w:rsidP="002F0E0B">
      <w:pPr>
        <w:pStyle w:val="ScheduleL4"/>
      </w:pPr>
      <w:r w:rsidRPr="002F0E0B">
        <w:rPr>
          <w:rFonts w:asciiTheme="minorHAnsi" w:hAnsiTheme="minorHAnsi" w:cstheme="minorHAnsi"/>
          <w:szCs w:val="22"/>
        </w:rPr>
        <w:t xml:space="preserve">the Sub-contractor must use its best endeavours to enforce the terms of his contract with the Sub-Sub-contractor which must be included in that contract in accordance with this paragraph </w:t>
      </w:r>
      <w:bookmarkEnd w:id="103"/>
      <w:r w:rsidR="00452610">
        <w:rPr>
          <w:rFonts w:asciiTheme="minorHAnsi" w:hAnsiTheme="minorHAnsi" w:cstheme="minorHAnsi"/>
          <w:szCs w:val="22"/>
        </w:rPr>
        <w:t>2.1.6</w:t>
      </w:r>
    </w:p>
    <w:p w14:paraId="0E2FE829" w14:textId="77777777" w:rsidR="00003323" w:rsidRDefault="00F766FF" w:rsidP="002F0E0B">
      <w:pPr>
        <w:pStyle w:val="ScheduleL3"/>
      </w:pPr>
      <w:r w:rsidRPr="002F0E0B">
        <w:t>The Supplier shall indemnify the Buyer and at all times keep the Buyer indemnified in respect of any Claim in connection with any failure or alleged failure by the Supplier, the Sub-contractor or Sub-Sub-contractor as the case may be, to comply with the Schemes or the Admission Agreement to which the Supplier, the Sub-contractor or the Sub-Sub-contractor as the case may be, is a party or to comply with (in the case of the Supplier) the provisions of this paragraph 2 or (in the case of a Sub-contractor or Sub-Sub-contractor) the provisions to be included in the Contract pursuant to paragraph 2.2.</w:t>
      </w:r>
    </w:p>
    <w:p w14:paraId="5EEA12CF" w14:textId="77777777" w:rsidR="00003323" w:rsidRPr="002F0E0B" w:rsidRDefault="00F766FF" w:rsidP="002F0E0B">
      <w:pPr>
        <w:pStyle w:val="ScheduleL3"/>
      </w:pPr>
      <w:r w:rsidRPr="002F0E0B">
        <w:rPr>
          <w:rFonts w:asciiTheme="minorHAnsi" w:hAnsiTheme="minorHAnsi" w:cstheme="minorHAnsi"/>
          <w:szCs w:val="22"/>
        </w:rPr>
        <w:t>If the Sub-contractor or Sub-Sub-contractor fails to pay by the due date any amount payable to any of the Schemes the Buyer may deduct an amount equal to that which has not been paid from any money otherwise payable by the Buyer to the Supplier and pay that amount to the Schemes.</w:t>
      </w:r>
      <w:r w:rsidRPr="002F0E0B">
        <w:rPr>
          <w:rFonts w:asciiTheme="minorHAnsi" w:hAnsiTheme="minorHAnsi" w:cstheme="minorHAnsi"/>
          <w:szCs w:val="22"/>
        </w:rPr>
        <w:tab/>
      </w:r>
      <w:bookmarkStart w:id="104" w:name="_Ref377709578"/>
    </w:p>
    <w:p w14:paraId="54E06597" w14:textId="77777777" w:rsidR="00003323" w:rsidRPr="002F0E0B" w:rsidRDefault="00F766FF" w:rsidP="002F0E0B">
      <w:pPr>
        <w:pStyle w:val="ScheduleL3"/>
      </w:pPr>
      <w:r w:rsidRPr="002F0E0B">
        <w:rPr>
          <w:rFonts w:asciiTheme="minorHAnsi" w:hAnsiTheme="minorHAnsi" w:cstheme="minorHAnsi"/>
          <w:szCs w:val="22"/>
        </w:rPr>
        <w:t>Save with the approval of the Buyer the Supplier shall not and shall procure any Sub-contractor and/or Sub-sub Supplier as applicable shall not on or after the earliest of:</w:t>
      </w:r>
      <w:bookmarkStart w:id="105" w:name="_Ref377709579"/>
      <w:bookmarkEnd w:id="104"/>
    </w:p>
    <w:p w14:paraId="3FA63C41" w14:textId="77777777" w:rsidR="00003323" w:rsidRPr="002F0E0B" w:rsidRDefault="00F766FF" w:rsidP="002F0E0B">
      <w:pPr>
        <w:pStyle w:val="ScheduleL4"/>
      </w:pPr>
      <w:r w:rsidRPr="002F0E0B">
        <w:t>the date which is eighteen (18) months before the Call-Off Expiry Date;</w:t>
      </w:r>
      <w:bookmarkStart w:id="106" w:name="_Ref377709580"/>
      <w:bookmarkEnd w:id="105"/>
    </w:p>
    <w:p w14:paraId="676260C1" w14:textId="77777777" w:rsidR="00003323" w:rsidRPr="002F0E0B" w:rsidRDefault="00F766FF" w:rsidP="002F0E0B">
      <w:pPr>
        <w:pStyle w:val="ScheduleL4"/>
      </w:pPr>
      <w:r w:rsidRPr="002F0E0B">
        <w:t>the Buyer giving the Supplier a Termination Notice terminating the whole of this Agreement or any part of the Services;</w:t>
      </w:r>
      <w:bookmarkStart w:id="107" w:name="_Ref377709581"/>
      <w:bookmarkEnd w:id="106"/>
    </w:p>
    <w:p w14:paraId="4426AF78" w14:textId="77777777" w:rsidR="00003323" w:rsidRPr="002F0E0B" w:rsidRDefault="00F766FF" w:rsidP="002F0E0B">
      <w:pPr>
        <w:pStyle w:val="ScheduleL4"/>
      </w:pPr>
      <w:r w:rsidRPr="002F0E0B">
        <w:t xml:space="preserve">the Supplier giving Force Majeure Notice under Clause 20 and such notice is accepted by the </w:t>
      </w:r>
      <w:bookmarkEnd w:id="107"/>
      <w:r w:rsidRPr="002F0E0B">
        <w:t>Buyer;</w:t>
      </w:r>
    </w:p>
    <w:p w14:paraId="1B2662E4" w14:textId="77777777" w:rsidR="00003323" w:rsidRPr="002F0E0B" w:rsidRDefault="00F766FF" w:rsidP="002F0E0B">
      <w:pPr>
        <w:pStyle w:val="ScheduleL4"/>
      </w:pPr>
      <w:r w:rsidRPr="002F0E0B">
        <w:t xml:space="preserve">on notification to the Supplier by the Buyer of a Replacement Supplier; and </w:t>
      </w:r>
    </w:p>
    <w:p w14:paraId="2AAC8591" w14:textId="77777777" w:rsidR="00F766FF" w:rsidRPr="002F0E0B" w:rsidRDefault="00F766FF" w:rsidP="002F0E0B">
      <w:pPr>
        <w:pStyle w:val="ScheduleL4"/>
      </w:pPr>
      <w:r w:rsidRPr="002F0E0B">
        <w:t>on receipt by the Supplier of a written request by the Buyer,</w:t>
      </w:r>
    </w:p>
    <w:p w14:paraId="378CE31E" w14:textId="77777777" w:rsidR="00F766FF" w:rsidRDefault="00F766FF" w:rsidP="00F766FF">
      <w:pPr>
        <w:pStyle w:val="ssNoHeading2"/>
        <w:widowControl w:val="0"/>
        <w:numPr>
          <w:ilvl w:val="0"/>
          <w:numId w:val="0"/>
        </w:numPr>
        <w:ind w:left="709"/>
        <w:rPr>
          <w:rFonts w:asciiTheme="minorHAnsi" w:hAnsiTheme="minorHAnsi" w:cstheme="minorHAnsi"/>
          <w:szCs w:val="22"/>
        </w:rPr>
      </w:pPr>
      <w:proofErr w:type="gramStart"/>
      <w:r w:rsidRPr="002F0E0B">
        <w:rPr>
          <w:rFonts w:asciiTheme="minorHAnsi" w:hAnsiTheme="minorHAnsi" w:cstheme="minorHAnsi"/>
          <w:szCs w:val="22"/>
        </w:rPr>
        <w:t>allow</w:t>
      </w:r>
      <w:proofErr w:type="gramEnd"/>
      <w:r w:rsidRPr="002F0E0B">
        <w:rPr>
          <w:rFonts w:asciiTheme="minorHAnsi" w:hAnsiTheme="minorHAnsi" w:cstheme="minorHAnsi"/>
          <w:szCs w:val="22"/>
        </w:rPr>
        <w:t xml:space="preserve"> (other than as required by law or an amendment to the Schemes) the grant or variation of any new or existing Relevant Benefits for or in respect of any employee of the Supplier to be made, announced or proposed.</w:t>
      </w:r>
    </w:p>
    <w:p w14:paraId="32F1CEC4" w14:textId="77777777" w:rsidR="00003323" w:rsidRDefault="00F766FF" w:rsidP="002F0E0B">
      <w:pPr>
        <w:pStyle w:val="ScheduleL3"/>
      </w:pPr>
      <w:r w:rsidRPr="002F0E0B">
        <w:lastRenderedPageBreak/>
        <w:t>The Supplier shall not and shall procure that any Sub-contractor shall not issue any announcements to Former Buyer Employees prior to the Relevant Transfer Date concerning the matters in this Paragraph 3 without the consent in writing of the Buyer (such consent not to be unreasonably withheld or delayed) and the Buyer shall not issue any such announcement without the consent of the Supplier (such consent not to be unreasonably withheld or delayed).</w:t>
      </w:r>
    </w:p>
    <w:p w14:paraId="0195F904" w14:textId="77777777" w:rsidR="00003323" w:rsidRPr="002F0E0B" w:rsidRDefault="00F766FF" w:rsidP="002F0E0B">
      <w:pPr>
        <w:pStyle w:val="ScheduleL3"/>
      </w:pPr>
      <w:r w:rsidRPr="002F0E0B">
        <w:rPr>
          <w:rFonts w:asciiTheme="minorHAnsi" w:hAnsiTheme="minorHAnsi" w:cstheme="minorHAnsi"/>
          <w:szCs w:val="22"/>
        </w:rPr>
        <w:t xml:space="preserve">The Supplier shall procure, and shall ensure that any Sub-contractor shall procure, that any information to be provided to the Buyer pursuant to the Admission Agreement is sent to: </w:t>
      </w:r>
      <w:r w:rsidRPr="002F0E0B">
        <w:rPr>
          <w:rFonts w:asciiTheme="minorHAnsi" w:hAnsiTheme="minorHAnsi" w:cstheme="minorHAnsi"/>
          <w:b/>
          <w:szCs w:val="22"/>
        </w:rPr>
        <w:t>[insert details]</w:t>
      </w:r>
      <w:r w:rsidRPr="002F0E0B">
        <w:rPr>
          <w:rFonts w:asciiTheme="minorHAnsi" w:hAnsiTheme="minorHAnsi" w:cstheme="minorHAnsi"/>
          <w:szCs w:val="22"/>
        </w:rPr>
        <w:t>.</w:t>
      </w:r>
    </w:p>
    <w:p w14:paraId="717ED0B0" w14:textId="77777777" w:rsidR="00003323" w:rsidRPr="002F0E0B" w:rsidRDefault="00F766FF" w:rsidP="002F0E0B">
      <w:pPr>
        <w:pStyle w:val="ScheduleL3"/>
      </w:pPr>
      <w:r w:rsidRPr="002F0E0B">
        <w:rPr>
          <w:rFonts w:asciiTheme="minorHAnsi" w:hAnsiTheme="minorHAnsi" w:cstheme="minorHAnsi"/>
          <w:szCs w:val="22"/>
        </w:rPr>
        <w:t>The Supplier shall not recover any Costs and/or other payments in relation to New Fair Deal where such costs and/or payments are recoverable or have already been recovered by the Supplier elsewhere in this Contract or otherwise.</w:t>
      </w:r>
      <w:r w:rsidRPr="002F0E0B">
        <w:rPr>
          <w:rFonts w:asciiTheme="minorHAnsi" w:hAnsiTheme="minorHAnsi" w:cstheme="minorHAnsi"/>
          <w:szCs w:val="22"/>
          <w:u w:val="single"/>
        </w:rPr>
        <w:t xml:space="preserve"> </w:t>
      </w:r>
      <w:r w:rsidRPr="002F0E0B">
        <w:rPr>
          <w:rFonts w:asciiTheme="minorHAnsi" w:hAnsiTheme="minorHAnsi" w:cstheme="minorHAnsi"/>
          <w:szCs w:val="22"/>
        </w:rPr>
        <w:t xml:space="preserve">If the Supplier does recover costs and/or other payments as set out in this paragraph 3.8 the Buyer may deduct an amount equal to the amount of such Costs and/or other payments from any money otherwise payable by the Buyer to the Supplier. </w:t>
      </w:r>
    </w:p>
    <w:p w14:paraId="2918DFA9" w14:textId="77777777" w:rsidR="00003323" w:rsidRPr="002F0E0B" w:rsidRDefault="00F766FF" w:rsidP="002F0E0B">
      <w:pPr>
        <w:pStyle w:val="ScheduleL3"/>
      </w:pPr>
      <w:r w:rsidRPr="002F0E0B">
        <w:rPr>
          <w:rFonts w:asciiTheme="minorHAnsi" w:hAnsiTheme="minorHAnsi" w:cstheme="minorHAnsi"/>
          <w:szCs w:val="22"/>
        </w:rPr>
        <w:t>The Supplier shall provide and shall procure each Sub-contractor as appropriate provides all such co-operation and assistance as the Schemes and a Replacement Supplier or Sub-contractor of a replacement Supplier and/or the Buyer may reasonably require to enable the replacement Supplier or Sub-contractor of a replacement Supplier to participate in the Schemes in respect of any Former Buyer Employee and to give effect to any transfer of accrued rights required as part of the participation under New Fair Deal.</w:t>
      </w:r>
    </w:p>
    <w:p w14:paraId="3A490ED1" w14:textId="77777777" w:rsidR="00F766FF" w:rsidRPr="002F0E0B" w:rsidRDefault="00F766FF" w:rsidP="002F0E0B">
      <w:pPr>
        <w:pStyle w:val="ScheduleL3"/>
      </w:pPr>
      <w:r w:rsidRPr="002F0E0B">
        <w:rPr>
          <w:rFonts w:asciiTheme="minorHAnsi" w:hAnsiTheme="minorHAnsi" w:cstheme="minorHAnsi"/>
          <w:szCs w:val="22"/>
        </w:rPr>
        <w:t xml:space="preserve">The Supplier undertakes to the Buyer to indemnify and keep indemnified the Buyer on demand against any liability out of or attributable to or in any way connected with the transmission of information supplied to it by the Supplier, Sub-contractor or Sub-Sub-contractor as in connection with a re-tendering or proposed re-tendering of all or any of the Services.  </w:t>
      </w:r>
    </w:p>
    <w:p w14:paraId="1FCA3926" w14:textId="5407CF3F" w:rsidR="00F766FF" w:rsidRDefault="00F766FF" w:rsidP="00F766FF">
      <w:pPr>
        <w:pStyle w:val="ssNoHeading2"/>
        <w:widowControl w:val="0"/>
        <w:numPr>
          <w:ilvl w:val="0"/>
          <w:numId w:val="0"/>
        </w:numPr>
        <w:ind w:left="709" w:hanging="709"/>
        <w:rPr>
          <w:rFonts w:asciiTheme="minorHAnsi" w:hAnsiTheme="minorHAnsi" w:cstheme="minorHAnsi"/>
          <w:szCs w:val="22"/>
        </w:rPr>
      </w:pPr>
    </w:p>
    <w:p w14:paraId="4AA674BC" w14:textId="1D3F37DE"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1D4F0975" w14:textId="6FB167F7"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03EE6067" w14:textId="302EE37B"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11D9AEBE" w14:textId="0E2FEEA0"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5FE234FC" w14:textId="4289385F"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25445BD8" w14:textId="317B28C9"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5CD862F6" w14:textId="6E53A1FA"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1979DE99" w14:textId="13D10A5C"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55872364" w14:textId="713B37A8"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07D31EF2" w14:textId="6EBCF42A"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61EFF00F" w14:textId="5BCA8672"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03949BFC" w14:textId="2CC815DF"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12FBDCB6" w14:textId="1704382C" w:rsidR="006A07EC" w:rsidRDefault="006A07EC" w:rsidP="00F766FF">
      <w:pPr>
        <w:pStyle w:val="ssNoHeading2"/>
        <w:widowControl w:val="0"/>
        <w:numPr>
          <w:ilvl w:val="0"/>
          <w:numId w:val="0"/>
        </w:numPr>
        <w:ind w:left="709" w:hanging="709"/>
        <w:rPr>
          <w:rFonts w:asciiTheme="minorHAnsi" w:hAnsiTheme="minorHAnsi" w:cstheme="minorHAnsi"/>
          <w:szCs w:val="22"/>
        </w:rPr>
      </w:pPr>
    </w:p>
    <w:p w14:paraId="17EBAE38" w14:textId="77777777" w:rsidR="006A07EC" w:rsidRPr="002F0E0B" w:rsidRDefault="006A07EC" w:rsidP="00F766FF">
      <w:pPr>
        <w:pStyle w:val="ssNoHeading2"/>
        <w:widowControl w:val="0"/>
        <w:numPr>
          <w:ilvl w:val="0"/>
          <w:numId w:val="0"/>
        </w:numPr>
        <w:ind w:left="709" w:hanging="709"/>
        <w:rPr>
          <w:rFonts w:asciiTheme="minorHAnsi" w:hAnsiTheme="minorHAnsi" w:cstheme="minorHAnsi"/>
          <w:szCs w:val="22"/>
        </w:rPr>
      </w:pPr>
    </w:p>
    <w:p w14:paraId="42D92EE8" w14:textId="10753A10" w:rsidR="006A07EC" w:rsidRPr="00F05A38" w:rsidRDefault="006A07EC" w:rsidP="006A07EC">
      <w:pPr>
        <w:pStyle w:val="ssNoHeading2"/>
        <w:widowControl w:val="0"/>
        <w:numPr>
          <w:ilvl w:val="0"/>
          <w:numId w:val="0"/>
        </w:numPr>
        <w:ind w:left="709" w:hanging="709"/>
        <w:jc w:val="center"/>
        <w:rPr>
          <w:rFonts w:asciiTheme="minorHAnsi" w:hAnsiTheme="minorHAnsi" w:cstheme="minorHAnsi"/>
          <w:b/>
          <w:szCs w:val="22"/>
        </w:rPr>
      </w:pPr>
      <w:r>
        <w:rPr>
          <w:rFonts w:asciiTheme="minorHAnsi" w:hAnsiTheme="minorHAnsi" w:cstheme="minorHAnsi"/>
          <w:b/>
          <w:szCs w:val="22"/>
        </w:rPr>
        <w:t xml:space="preserve">Annex A </w:t>
      </w:r>
    </w:p>
    <w:p w14:paraId="20E951A6" w14:textId="77777777" w:rsidR="006A07EC" w:rsidRPr="00F05A38" w:rsidRDefault="006A07EC" w:rsidP="006A07EC">
      <w:pPr>
        <w:pStyle w:val="ssNoHeading2"/>
        <w:widowControl w:val="0"/>
        <w:numPr>
          <w:ilvl w:val="0"/>
          <w:numId w:val="0"/>
        </w:numPr>
        <w:ind w:left="709" w:hanging="709"/>
        <w:jc w:val="center"/>
        <w:rPr>
          <w:rFonts w:asciiTheme="minorHAnsi" w:hAnsiTheme="minorHAnsi" w:cstheme="minorHAnsi"/>
          <w:b/>
          <w:szCs w:val="22"/>
        </w:rPr>
      </w:pPr>
    </w:p>
    <w:p w14:paraId="31EE1F34" w14:textId="77777777" w:rsidR="006A07EC" w:rsidRPr="00F05A38" w:rsidRDefault="006A07EC" w:rsidP="006A07EC">
      <w:pPr>
        <w:pStyle w:val="ssNoHeading2"/>
        <w:widowControl w:val="0"/>
        <w:numPr>
          <w:ilvl w:val="0"/>
          <w:numId w:val="0"/>
        </w:numPr>
        <w:ind w:left="709" w:hanging="709"/>
        <w:jc w:val="center"/>
        <w:rPr>
          <w:rFonts w:asciiTheme="minorHAnsi" w:hAnsiTheme="minorHAnsi" w:cstheme="minorHAnsi"/>
          <w:szCs w:val="22"/>
        </w:rPr>
      </w:pPr>
      <w:r w:rsidRPr="00F05A38">
        <w:rPr>
          <w:rFonts w:asciiTheme="minorHAnsi" w:hAnsiTheme="minorHAnsi" w:cstheme="minorHAnsi"/>
          <w:b/>
          <w:i/>
          <w:szCs w:val="22"/>
        </w:rPr>
        <w:t>Insert form of Admission Agreement</w:t>
      </w:r>
    </w:p>
    <w:p w14:paraId="2BFF3CC0" w14:textId="77777777" w:rsidR="00F766FF" w:rsidRDefault="00F766FF" w:rsidP="002F0E0B">
      <w:pPr>
        <w:pStyle w:val="ScheduleL1"/>
        <w:numPr>
          <w:ilvl w:val="0"/>
          <w:numId w:val="0"/>
        </w:numPr>
        <w:ind w:left="720"/>
      </w:pPr>
      <w:r w:rsidRPr="007416ED">
        <w:rPr>
          <w:szCs w:val="22"/>
        </w:rPr>
        <w:br w:type="page"/>
      </w:r>
    </w:p>
    <w:p w14:paraId="79CA5256" w14:textId="77777777" w:rsidR="00D607AE" w:rsidRDefault="00D607AE">
      <w:pPr>
        <w:rPr>
          <w:szCs w:val="23"/>
        </w:rPr>
      </w:pPr>
    </w:p>
    <w:p w14:paraId="61C59D1C" w14:textId="77777777" w:rsidR="00D607AE" w:rsidRDefault="00002F67">
      <w:pPr>
        <w:jc w:val="center"/>
        <w:outlineLvl w:val="1"/>
        <w:rPr>
          <w:szCs w:val="23"/>
          <w:lang w:val="en-US"/>
        </w:rPr>
      </w:pPr>
      <w:r>
        <w:rPr>
          <w:szCs w:val="23"/>
        </w:rPr>
        <w:br w:type="page"/>
      </w:r>
      <w:r>
        <w:rPr>
          <w:b/>
          <w:szCs w:val="23"/>
        </w:rPr>
        <w:lastRenderedPageBreak/>
        <w:t>Annex D2: NHSPS</w:t>
      </w:r>
    </w:p>
    <w:p w14:paraId="75291C5A" w14:textId="77777777" w:rsidR="00D607AE" w:rsidRDefault="00002F67">
      <w:pPr>
        <w:pStyle w:val="ScheduleL1"/>
        <w:numPr>
          <w:ilvl w:val="0"/>
          <w:numId w:val="24"/>
        </w:numPr>
        <w:tabs>
          <w:tab w:val="clear" w:pos="720"/>
        </w:tabs>
        <w:ind w:left="357" w:hanging="357"/>
        <w:rPr>
          <w:rFonts w:ascii="Times New Roman" w:hAnsi="Times New Roman"/>
          <w:szCs w:val="23"/>
          <w:lang w:val="en-US"/>
        </w:rPr>
      </w:pPr>
      <w:r>
        <w:rPr>
          <w:szCs w:val="23"/>
        </w:rPr>
        <w:t>DEFINITIONS</w:t>
      </w:r>
    </w:p>
    <w:p w14:paraId="45319916" w14:textId="77777777" w:rsidR="00D607AE" w:rsidRDefault="00002F67">
      <w:pPr>
        <w:keepNext/>
        <w:ind w:left="368" w:hanging="11"/>
        <w:outlineLvl w:val="1"/>
        <w:rPr>
          <w:rFonts w:eastAsia="STZhongsong"/>
          <w:szCs w:val="23"/>
          <w:lang w:val="en-US"/>
        </w:rPr>
      </w:pPr>
      <w:r>
        <w:rPr>
          <w:rFonts w:eastAsia="STZhongsong"/>
          <w:szCs w:val="23"/>
          <w:lang w:val="en-US"/>
        </w:rPr>
        <w:t>In this Annex D2: NHSPS to Part D: Pensions, the following words have the following meanings and they shall supplement Schedule J1: Definitions:</w:t>
      </w:r>
    </w:p>
    <w:tbl>
      <w:tblPr>
        <w:tblW w:w="0" w:type="auto"/>
        <w:tblLayout w:type="fixed"/>
        <w:tblLook w:val="0000" w:firstRow="0" w:lastRow="0" w:firstColumn="0" w:lastColumn="0" w:noHBand="0" w:noVBand="0"/>
      </w:tblPr>
      <w:tblGrid>
        <w:gridCol w:w="3085"/>
        <w:gridCol w:w="6157"/>
      </w:tblGrid>
      <w:tr w:rsidR="00D607AE" w:rsidRPr="00002F67" w14:paraId="41C51D4F" w14:textId="77777777">
        <w:tc>
          <w:tcPr>
            <w:tcW w:w="3085" w:type="dxa"/>
            <w:tcBorders>
              <w:top w:val="nil"/>
              <w:left w:val="nil"/>
              <w:bottom w:val="nil"/>
              <w:right w:val="nil"/>
            </w:tcBorders>
          </w:tcPr>
          <w:p w14:paraId="1ACACC84" w14:textId="77777777" w:rsidR="00D607AE" w:rsidRDefault="00002F67">
            <w:pPr>
              <w:spacing w:before="120" w:after="120"/>
              <w:ind w:left="720"/>
              <w:jc w:val="left"/>
              <w:rPr>
                <w:rFonts w:eastAsia="STZhongsong"/>
                <w:b/>
                <w:szCs w:val="23"/>
              </w:rPr>
            </w:pPr>
            <w:r>
              <w:rPr>
                <w:rFonts w:eastAsia="STZhongsong"/>
                <w:b/>
                <w:szCs w:val="23"/>
              </w:rPr>
              <w:t>"Direction Letter"</w:t>
            </w:r>
          </w:p>
        </w:tc>
        <w:tc>
          <w:tcPr>
            <w:tcW w:w="6157" w:type="dxa"/>
            <w:tcBorders>
              <w:top w:val="nil"/>
              <w:left w:val="nil"/>
              <w:bottom w:val="nil"/>
              <w:right w:val="nil"/>
            </w:tcBorders>
          </w:tcPr>
          <w:p w14:paraId="7114B087" w14:textId="77777777" w:rsidR="00D607AE" w:rsidRDefault="00002F67">
            <w:pPr>
              <w:tabs>
                <w:tab w:val="left" w:pos="235"/>
              </w:tabs>
              <w:spacing w:before="120" w:after="120"/>
              <w:rPr>
                <w:rFonts w:eastAsia="STZhongsong"/>
                <w:color w:val="000000"/>
                <w:szCs w:val="23"/>
              </w:rPr>
            </w:pPr>
            <w:r>
              <w:rPr>
                <w:rFonts w:eastAsia="STZhongsong"/>
                <w:color w:val="000000"/>
                <w:szCs w:val="23"/>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D607AE" w:rsidRPr="00002F67" w14:paraId="4A917002" w14:textId="77777777">
        <w:tc>
          <w:tcPr>
            <w:tcW w:w="3085" w:type="dxa"/>
            <w:tcBorders>
              <w:top w:val="nil"/>
              <w:left w:val="nil"/>
              <w:bottom w:val="nil"/>
              <w:right w:val="nil"/>
            </w:tcBorders>
          </w:tcPr>
          <w:p w14:paraId="420239B0" w14:textId="77777777" w:rsidR="00D607AE" w:rsidRDefault="00002F67">
            <w:pPr>
              <w:spacing w:before="120" w:after="120"/>
              <w:ind w:left="720"/>
              <w:jc w:val="left"/>
              <w:rPr>
                <w:rFonts w:eastAsia="STZhongsong"/>
                <w:b/>
                <w:szCs w:val="23"/>
              </w:rPr>
            </w:pPr>
            <w:r>
              <w:rPr>
                <w:rFonts w:eastAsia="STZhongsong"/>
                <w:b/>
                <w:szCs w:val="23"/>
              </w:rPr>
              <w:t>"NHSPS Eligible Employees"</w:t>
            </w:r>
          </w:p>
        </w:tc>
        <w:tc>
          <w:tcPr>
            <w:tcW w:w="6157" w:type="dxa"/>
            <w:tcBorders>
              <w:top w:val="nil"/>
              <w:left w:val="nil"/>
              <w:bottom w:val="nil"/>
              <w:right w:val="nil"/>
            </w:tcBorders>
          </w:tcPr>
          <w:p w14:paraId="6A6BF48B" w14:textId="77777777" w:rsidR="00D607AE" w:rsidRDefault="00002F67">
            <w:pPr>
              <w:tabs>
                <w:tab w:val="left" w:pos="235"/>
              </w:tabs>
              <w:spacing w:before="120" w:after="120"/>
              <w:rPr>
                <w:rFonts w:eastAsia="STZhongsong"/>
                <w:color w:val="000000"/>
                <w:szCs w:val="23"/>
              </w:rPr>
            </w:pPr>
            <w:r>
              <w:rPr>
                <w:rFonts w:eastAsia="STZhongsong"/>
                <w:color w:val="000000"/>
                <w:szCs w:val="23"/>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D607AE" w:rsidRPr="00002F67" w14:paraId="52451793" w14:textId="77777777">
        <w:tc>
          <w:tcPr>
            <w:tcW w:w="3085" w:type="dxa"/>
            <w:tcBorders>
              <w:top w:val="nil"/>
              <w:left w:val="nil"/>
              <w:bottom w:val="nil"/>
              <w:right w:val="nil"/>
            </w:tcBorders>
          </w:tcPr>
          <w:p w14:paraId="4882CBB3" w14:textId="77777777" w:rsidR="00D607AE" w:rsidRDefault="00D607AE">
            <w:pPr>
              <w:spacing w:before="120" w:after="120"/>
              <w:ind w:left="720"/>
              <w:jc w:val="left"/>
              <w:rPr>
                <w:rFonts w:eastAsia="STZhongsong"/>
                <w:color w:val="000000"/>
                <w:szCs w:val="23"/>
              </w:rPr>
            </w:pPr>
          </w:p>
        </w:tc>
        <w:tc>
          <w:tcPr>
            <w:tcW w:w="6157" w:type="dxa"/>
            <w:tcBorders>
              <w:top w:val="nil"/>
              <w:left w:val="nil"/>
              <w:bottom w:val="nil"/>
              <w:right w:val="nil"/>
            </w:tcBorders>
          </w:tcPr>
          <w:p w14:paraId="5CCD7D19" w14:textId="77777777" w:rsidR="00D607AE" w:rsidRDefault="00002F67">
            <w:pPr>
              <w:widowControl w:val="0"/>
              <w:numPr>
                <w:ilvl w:val="0"/>
                <w:numId w:val="25"/>
              </w:numPr>
              <w:tabs>
                <w:tab w:val="clear" w:pos="1587"/>
                <w:tab w:val="left" w:pos="695"/>
                <w:tab w:val="num" w:pos="743"/>
              </w:tabs>
              <w:spacing w:before="120" w:after="120"/>
              <w:ind w:left="743" w:hanging="709"/>
              <w:rPr>
                <w:rFonts w:eastAsia="STZhongsong"/>
                <w:color w:val="000000"/>
                <w:szCs w:val="23"/>
              </w:rPr>
            </w:pPr>
            <w:r>
              <w:rPr>
                <w:rFonts w:eastAsia="STZhongsong"/>
                <w:color w:val="000000"/>
                <w:szCs w:val="23"/>
              </w:rPr>
              <w:t>their employment with the Buyer</w:t>
            </w:r>
            <w:r>
              <w:rPr>
                <w:rFonts w:eastAsia="STZhongsong"/>
                <w:i/>
                <w:color w:val="000000"/>
                <w:szCs w:val="23"/>
              </w:rPr>
              <w:t>,</w:t>
            </w:r>
            <w:r>
              <w:rPr>
                <w:rFonts w:eastAsia="STZhongsong"/>
                <w:color w:val="000000"/>
                <w:szCs w:val="23"/>
              </w:rPr>
              <w:t xml:space="preserve"> an NHS Body or other employer which participates automatically in the NHSPS; or</w:t>
            </w:r>
          </w:p>
        </w:tc>
      </w:tr>
      <w:tr w:rsidR="00D607AE" w:rsidRPr="00002F67" w14:paraId="39B12FCF" w14:textId="77777777">
        <w:tc>
          <w:tcPr>
            <w:tcW w:w="3085" w:type="dxa"/>
            <w:tcBorders>
              <w:top w:val="nil"/>
              <w:left w:val="nil"/>
              <w:bottom w:val="nil"/>
              <w:right w:val="nil"/>
            </w:tcBorders>
          </w:tcPr>
          <w:p w14:paraId="3FA64708" w14:textId="77777777" w:rsidR="00D607AE" w:rsidRDefault="00D607AE">
            <w:pPr>
              <w:spacing w:before="120" w:after="120"/>
              <w:ind w:left="720"/>
              <w:jc w:val="left"/>
              <w:rPr>
                <w:rFonts w:eastAsia="STZhongsong"/>
                <w:color w:val="000000"/>
                <w:szCs w:val="23"/>
              </w:rPr>
            </w:pPr>
          </w:p>
        </w:tc>
        <w:tc>
          <w:tcPr>
            <w:tcW w:w="6157" w:type="dxa"/>
            <w:tcBorders>
              <w:top w:val="nil"/>
              <w:left w:val="nil"/>
              <w:bottom w:val="nil"/>
              <w:right w:val="nil"/>
            </w:tcBorders>
          </w:tcPr>
          <w:p w14:paraId="68FFD592" w14:textId="77777777" w:rsidR="00D607AE" w:rsidRDefault="00002F67">
            <w:pPr>
              <w:widowControl w:val="0"/>
              <w:numPr>
                <w:ilvl w:val="0"/>
                <w:numId w:val="25"/>
              </w:numPr>
              <w:tabs>
                <w:tab w:val="left" w:pos="695"/>
              </w:tabs>
              <w:spacing w:before="120" w:after="120"/>
              <w:ind w:left="695" w:hanging="646"/>
              <w:rPr>
                <w:rFonts w:eastAsia="STZhongsong"/>
                <w:color w:val="000000"/>
                <w:szCs w:val="23"/>
              </w:rPr>
            </w:pPr>
            <w:r>
              <w:rPr>
                <w:rFonts w:eastAsia="STZhongsong"/>
                <w:color w:val="000000"/>
                <w:szCs w:val="23"/>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Pr>
                <w:rFonts w:eastAsia="STZhongsong"/>
                <w:szCs w:val="23"/>
              </w:rPr>
              <w:t>entitled</w:t>
            </w:r>
            <w:r>
              <w:rPr>
                <w:rFonts w:eastAsia="STZhongsong"/>
                <w:color w:val="000000"/>
                <w:szCs w:val="23"/>
              </w:rPr>
              <w:t xml:space="preserve">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rsidR="00D607AE" w:rsidRPr="00002F67" w14:paraId="4828E4EE" w14:textId="77777777">
        <w:tc>
          <w:tcPr>
            <w:tcW w:w="3085" w:type="dxa"/>
            <w:tcBorders>
              <w:top w:val="nil"/>
              <w:left w:val="nil"/>
              <w:bottom w:val="nil"/>
              <w:right w:val="nil"/>
            </w:tcBorders>
          </w:tcPr>
          <w:p w14:paraId="5D83F602" w14:textId="77777777" w:rsidR="00D607AE" w:rsidRDefault="00D607AE">
            <w:pPr>
              <w:spacing w:before="120" w:after="120"/>
              <w:ind w:left="720"/>
              <w:jc w:val="left"/>
              <w:rPr>
                <w:rFonts w:eastAsia="STZhongsong"/>
                <w:color w:val="000000"/>
                <w:szCs w:val="23"/>
              </w:rPr>
            </w:pPr>
          </w:p>
        </w:tc>
        <w:tc>
          <w:tcPr>
            <w:tcW w:w="6157" w:type="dxa"/>
            <w:tcBorders>
              <w:top w:val="nil"/>
              <w:left w:val="nil"/>
              <w:bottom w:val="nil"/>
              <w:right w:val="nil"/>
            </w:tcBorders>
          </w:tcPr>
          <w:p w14:paraId="2A819474" w14:textId="77777777" w:rsidR="00D607AE" w:rsidRDefault="00002F67">
            <w:pPr>
              <w:tabs>
                <w:tab w:val="left" w:pos="235"/>
              </w:tabs>
              <w:spacing w:before="120" w:after="120"/>
              <w:rPr>
                <w:rFonts w:eastAsia="STZhongsong"/>
                <w:color w:val="000000"/>
                <w:szCs w:val="23"/>
              </w:rPr>
            </w:pPr>
            <w:proofErr w:type="gramStart"/>
            <w:r>
              <w:rPr>
                <w:rFonts w:eastAsia="STZhongsong"/>
                <w:color w:val="000000"/>
                <w:szCs w:val="23"/>
              </w:rPr>
              <w:t>and</w:t>
            </w:r>
            <w:proofErr w:type="gramEnd"/>
            <w:r>
              <w:rPr>
                <w:rFonts w:eastAsia="STZhongsong"/>
                <w:color w:val="000000"/>
                <w:szCs w:val="23"/>
              </w:rPr>
              <w:t>, in each case, being continuously engaged for more than fifty per cent (50%) of their employed time in the delivery of services (the same as or similar to the Services).</w:t>
            </w:r>
          </w:p>
        </w:tc>
      </w:tr>
      <w:tr w:rsidR="00D607AE" w:rsidRPr="00002F67" w14:paraId="603A3A4D" w14:textId="77777777">
        <w:tc>
          <w:tcPr>
            <w:tcW w:w="3085" w:type="dxa"/>
            <w:tcBorders>
              <w:top w:val="nil"/>
              <w:left w:val="nil"/>
              <w:bottom w:val="nil"/>
              <w:right w:val="nil"/>
            </w:tcBorders>
          </w:tcPr>
          <w:p w14:paraId="63E3608A" w14:textId="77777777" w:rsidR="00D607AE" w:rsidRDefault="00D607AE">
            <w:pPr>
              <w:spacing w:before="120" w:after="120"/>
              <w:ind w:left="720"/>
              <w:jc w:val="left"/>
              <w:rPr>
                <w:rFonts w:eastAsia="STZhongsong"/>
                <w:color w:val="000000"/>
                <w:szCs w:val="23"/>
              </w:rPr>
            </w:pPr>
          </w:p>
        </w:tc>
        <w:tc>
          <w:tcPr>
            <w:tcW w:w="6157" w:type="dxa"/>
            <w:tcBorders>
              <w:top w:val="nil"/>
              <w:left w:val="nil"/>
              <w:bottom w:val="nil"/>
              <w:right w:val="nil"/>
            </w:tcBorders>
          </w:tcPr>
          <w:p w14:paraId="24FB856C" w14:textId="77777777" w:rsidR="00D607AE" w:rsidRDefault="00002F67">
            <w:pPr>
              <w:tabs>
                <w:tab w:val="left" w:pos="235"/>
              </w:tabs>
              <w:spacing w:before="120" w:after="120"/>
              <w:rPr>
                <w:rFonts w:eastAsia="STZhongsong"/>
                <w:color w:val="000000"/>
                <w:szCs w:val="23"/>
              </w:rPr>
            </w:pPr>
            <w:r>
              <w:rPr>
                <w:rFonts w:eastAsia="STZhongsong"/>
                <w:color w:val="000000"/>
                <w:szCs w:val="23"/>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w:t>
            </w:r>
            <w:r>
              <w:rPr>
                <w:rFonts w:eastAsia="STZhongsong"/>
                <w:color w:val="000000"/>
                <w:szCs w:val="23"/>
              </w:rPr>
              <w:lastRenderedPageBreak/>
              <w:t xml:space="preserve">by an NHS Body (or other body which participates automatically in the NHSPS) is not an NHSPS Eligible Employee; </w:t>
            </w:r>
          </w:p>
        </w:tc>
      </w:tr>
      <w:tr w:rsidR="00D607AE" w:rsidRPr="00002F67" w14:paraId="78F3FFFF" w14:textId="77777777">
        <w:tc>
          <w:tcPr>
            <w:tcW w:w="3085" w:type="dxa"/>
            <w:tcBorders>
              <w:top w:val="nil"/>
              <w:left w:val="nil"/>
              <w:bottom w:val="nil"/>
              <w:right w:val="nil"/>
            </w:tcBorders>
          </w:tcPr>
          <w:p w14:paraId="34DB9369" w14:textId="77777777" w:rsidR="00D607AE" w:rsidRDefault="00002F67">
            <w:pPr>
              <w:spacing w:before="120" w:after="120"/>
              <w:ind w:left="993"/>
              <w:jc w:val="left"/>
              <w:rPr>
                <w:rFonts w:eastAsia="STZhongsong"/>
                <w:b/>
                <w:szCs w:val="23"/>
              </w:rPr>
            </w:pPr>
            <w:r>
              <w:rPr>
                <w:rFonts w:eastAsia="STZhongsong"/>
                <w:b/>
                <w:szCs w:val="23"/>
              </w:rPr>
              <w:lastRenderedPageBreak/>
              <w:t>"NHS Body"</w:t>
            </w:r>
          </w:p>
        </w:tc>
        <w:tc>
          <w:tcPr>
            <w:tcW w:w="6157" w:type="dxa"/>
            <w:tcBorders>
              <w:top w:val="nil"/>
              <w:left w:val="nil"/>
              <w:bottom w:val="nil"/>
              <w:right w:val="nil"/>
            </w:tcBorders>
          </w:tcPr>
          <w:p w14:paraId="66B2EB26" w14:textId="77777777" w:rsidR="00D607AE" w:rsidRDefault="00002F67">
            <w:pPr>
              <w:tabs>
                <w:tab w:val="left" w:pos="235"/>
              </w:tabs>
              <w:spacing w:before="120" w:after="120"/>
              <w:rPr>
                <w:rFonts w:eastAsia="STZhongsong"/>
                <w:color w:val="000000"/>
                <w:szCs w:val="23"/>
              </w:rPr>
            </w:pPr>
            <w:r>
              <w:rPr>
                <w:rFonts w:eastAsia="STZhongsong"/>
                <w:color w:val="000000"/>
                <w:szCs w:val="23"/>
              </w:rPr>
              <w:t>has the meaning given to it in section 275 of the National Health Service Act 2006 as amended by section 138(2)(c) of Schedule 4 to the Health and Social Care Act 2012;</w:t>
            </w:r>
          </w:p>
        </w:tc>
      </w:tr>
      <w:tr w:rsidR="00D607AE" w:rsidRPr="00002F67" w14:paraId="1038E27C" w14:textId="77777777">
        <w:tc>
          <w:tcPr>
            <w:tcW w:w="3085" w:type="dxa"/>
            <w:tcBorders>
              <w:top w:val="nil"/>
              <w:left w:val="nil"/>
              <w:bottom w:val="nil"/>
              <w:right w:val="nil"/>
            </w:tcBorders>
          </w:tcPr>
          <w:p w14:paraId="43B0C8C1" w14:textId="77777777" w:rsidR="00D607AE" w:rsidRDefault="00002F67">
            <w:pPr>
              <w:spacing w:before="120" w:after="120"/>
              <w:ind w:left="993"/>
              <w:jc w:val="left"/>
              <w:rPr>
                <w:rFonts w:eastAsia="STZhongsong"/>
                <w:b/>
                <w:szCs w:val="23"/>
              </w:rPr>
            </w:pPr>
            <w:r>
              <w:rPr>
                <w:rFonts w:eastAsia="STZhongsong"/>
                <w:b/>
                <w:szCs w:val="23"/>
              </w:rPr>
              <w:t>"NHS Pensions"</w:t>
            </w:r>
          </w:p>
        </w:tc>
        <w:tc>
          <w:tcPr>
            <w:tcW w:w="6157" w:type="dxa"/>
            <w:tcBorders>
              <w:top w:val="nil"/>
              <w:left w:val="nil"/>
              <w:bottom w:val="nil"/>
              <w:right w:val="nil"/>
            </w:tcBorders>
          </w:tcPr>
          <w:p w14:paraId="70127C56" w14:textId="77777777" w:rsidR="00D607AE" w:rsidRDefault="00002F67">
            <w:pPr>
              <w:tabs>
                <w:tab w:val="left" w:pos="235"/>
              </w:tabs>
              <w:spacing w:before="120" w:after="120"/>
              <w:rPr>
                <w:rFonts w:eastAsia="STZhongsong"/>
                <w:color w:val="000000"/>
                <w:szCs w:val="23"/>
              </w:rPr>
            </w:pPr>
            <w:r>
              <w:rPr>
                <w:rFonts w:eastAsia="STZhongsong"/>
                <w:color w:val="000000"/>
                <w:szCs w:val="23"/>
              </w:rPr>
              <w:t>NHS Pensions as the administrators of the NHSPS or such other body as may from time to time be responsible for relevant administrative functions of the NHSPS;</w:t>
            </w:r>
          </w:p>
        </w:tc>
      </w:tr>
      <w:tr w:rsidR="00D607AE" w:rsidRPr="00002F67" w14:paraId="774B99AD" w14:textId="77777777">
        <w:tc>
          <w:tcPr>
            <w:tcW w:w="3085" w:type="dxa"/>
            <w:tcBorders>
              <w:top w:val="nil"/>
              <w:left w:val="nil"/>
              <w:bottom w:val="nil"/>
              <w:right w:val="nil"/>
            </w:tcBorders>
          </w:tcPr>
          <w:p w14:paraId="7155709B" w14:textId="77777777" w:rsidR="00D607AE" w:rsidRDefault="00002F67">
            <w:pPr>
              <w:spacing w:before="120" w:after="120"/>
              <w:ind w:left="993"/>
              <w:jc w:val="left"/>
              <w:rPr>
                <w:rFonts w:eastAsia="STZhongsong"/>
                <w:b/>
                <w:szCs w:val="23"/>
              </w:rPr>
            </w:pPr>
            <w:r>
              <w:rPr>
                <w:rFonts w:eastAsia="STZhongsong"/>
                <w:b/>
                <w:szCs w:val="23"/>
              </w:rPr>
              <w:t>"NHSPS"</w:t>
            </w:r>
          </w:p>
        </w:tc>
        <w:tc>
          <w:tcPr>
            <w:tcW w:w="6157" w:type="dxa"/>
            <w:tcBorders>
              <w:top w:val="nil"/>
              <w:left w:val="nil"/>
              <w:bottom w:val="nil"/>
              <w:right w:val="nil"/>
            </w:tcBorders>
          </w:tcPr>
          <w:p w14:paraId="75CDE809" w14:textId="77777777" w:rsidR="00D607AE" w:rsidRDefault="00002F67">
            <w:pPr>
              <w:tabs>
                <w:tab w:val="left" w:pos="235"/>
              </w:tabs>
              <w:spacing w:before="120" w:after="120"/>
              <w:rPr>
                <w:rFonts w:eastAsia="STZhongsong"/>
                <w:color w:val="000000"/>
                <w:szCs w:val="23"/>
              </w:rPr>
            </w:pPr>
            <w:r>
              <w:rPr>
                <w:rFonts w:eastAsia="STZhongsong"/>
                <w:color w:val="000000"/>
                <w:szCs w:val="23"/>
              </w:rPr>
              <w:t>the National Health Service Pension Scheme for England and Wales, established pursuant to the Superannuation Act 1972 and governed by subsequent regulations under that Act including the NHS Pension Scheme Regulations;</w:t>
            </w:r>
          </w:p>
        </w:tc>
      </w:tr>
      <w:tr w:rsidR="00D607AE" w:rsidRPr="00002F67" w14:paraId="1AD19FA4" w14:textId="77777777">
        <w:tc>
          <w:tcPr>
            <w:tcW w:w="3085" w:type="dxa"/>
            <w:tcBorders>
              <w:top w:val="nil"/>
              <w:left w:val="nil"/>
              <w:bottom w:val="nil"/>
              <w:right w:val="nil"/>
            </w:tcBorders>
          </w:tcPr>
          <w:p w14:paraId="2A537E28" w14:textId="77777777" w:rsidR="00D607AE" w:rsidRDefault="00002F67">
            <w:pPr>
              <w:spacing w:before="120" w:after="120"/>
              <w:ind w:left="993"/>
              <w:jc w:val="left"/>
              <w:rPr>
                <w:rFonts w:eastAsia="STZhongsong"/>
                <w:b/>
                <w:szCs w:val="23"/>
              </w:rPr>
            </w:pPr>
            <w:r>
              <w:rPr>
                <w:rFonts w:eastAsia="STZhongsong"/>
                <w:b/>
                <w:szCs w:val="23"/>
              </w:rPr>
              <w:t>"NHS Pension Scheme Arrears"</w:t>
            </w:r>
          </w:p>
        </w:tc>
        <w:tc>
          <w:tcPr>
            <w:tcW w:w="6157" w:type="dxa"/>
            <w:tcBorders>
              <w:top w:val="nil"/>
              <w:left w:val="nil"/>
              <w:bottom w:val="nil"/>
              <w:right w:val="nil"/>
            </w:tcBorders>
          </w:tcPr>
          <w:p w14:paraId="601B8531" w14:textId="77777777" w:rsidR="00D607AE" w:rsidRDefault="00002F67">
            <w:pPr>
              <w:tabs>
                <w:tab w:val="left" w:pos="235"/>
              </w:tabs>
              <w:spacing w:before="120" w:after="120"/>
              <w:rPr>
                <w:rFonts w:eastAsia="STZhongsong"/>
                <w:color w:val="000000"/>
                <w:szCs w:val="23"/>
              </w:rPr>
            </w:pPr>
            <w:r>
              <w:rPr>
                <w:rFonts w:eastAsia="STZhongsong"/>
                <w:color w:val="000000"/>
                <w:szCs w:val="23"/>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D607AE" w:rsidRPr="00002F67" w14:paraId="63DE2746" w14:textId="77777777">
        <w:tc>
          <w:tcPr>
            <w:tcW w:w="3085" w:type="dxa"/>
            <w:tcBorders>
              <w:top w:val="nil"/>
              <w:left w:val="nil"/>
              <w:bottom w:val="nil"/>
              <w:right w:val="nil"/>
            </w:tcBorders>
          </w:tcPr>
          <w:p w14:paraId="76E60D33" w14:textId="77777777" w:rsidR="00D607AE" w:rsidRDefault="00002F67">
            <w:pPr>
              <w:spacing w:before="120" w:after="120"/>
              <w:ind w:left="993"/>
              <w:jc w:val="left"/>
              <w:rPr>
                <w:rFonts w:eastAsia="STZhongsong"/>
                <w:b/>
                <w:szCs w:val="23"/>
              </w:rPr>
            </w:pPr>
            <w:r>
              <w:rPr>
                <w:rFonts w:eastAsia="STZhongsong"/>
                <w:b/>
                <w:szCs w:val="23"/>
              </w:rPr>
              <w:t>"NHS Pension Scheme Regulations"</w:t>
            </w:r>
          </w:p>
        </w:tc>
        <w:tc>
          <w:tcPr>
            <w:tcW w:w="6157" w:type="dxa"/>
            <w:tcBorders>
              <w:top w:val="nil"/>
              <w:left w:val="nil"/>
              <w:bottom w:val="nil"/>
              <w:right w:val="nil"/>
            </w:tcBorders>
          </w:tcPr>
          <w:p w14:paraId="72954753" w14:textId="77777777" w:rsidR="00D607AE" w:rsidRDefault="00002F67">
            <w:pPr>
              <w:tabs>
                <w:tab w:val="left" w:pos="235"/>
              </w:tabs>
              <w:spacing w:before="120" w:after="120"/>
              <w:rPr>
                <w:rFonts w:eastAsia="STZhongsong"/>
                <w:color w:val="000000"/>
                <w:szCs w:val="23"/>
              </w:rPr>
            </w:pPr>
            <w:r>
              <w:rPr>
                <w:rFonts w:eastAsia="STZhongsong"/>
                <w:color w:val="000000"/>
                <w:szCs w:val="23"/>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D607AE" w:rsidRPr="00002F67" w14:paraId="1246EFEE" w14:textId="77777777">
        <w:tc>
          <w:tcPr>
            <w:tcW w:w="3085" w:type="dxa"/>
            <w:tcBorders>
              <w:top w:val="nil"/>
              <w:left w:val="nil"/>
              <w:bottom w:val="nil"/>
              <w:right w:val="nil"/>
            </w:tcBorders>
          </w:tcPr>
          <w:p w14:paraId="5C958677" w14:textId="77777777" w:rsidR="00D607AE" w:rsidRDefault="00002F67">
            <w:pPr>
              <w:spacing w:before="120" w:after="120"/>
              <w:ind w:left="993"/>
              <w:jc w:val="left"/>
              <w:rPr>
                <w:rFonts w:eastAsia="STZhongsong"/>
                <w:b/>
                <w:szCs w:val="23"/>
              </w:rPr>
            </w:pPr>
            <w:r>
              <w:rPr>
                <w:rFonts w:eastAsia="STZhongsong"/>
                <w:b/>
                <w:szCs w:val="23"/>
              </w:rPr>
              <w:t>"NHS Premature Retirement Rights"</w:t>
            </w:r>
          </w:p>
        </w:tc>
        <w:tc>
          <w:tcPr>
            <w:tcW w:w="6157" w:type="dxa"/>
            <w:tcBorders>
              <w:top w:val="nil"/>
              <w:left w:val="nil"/>
              <w:bottom w:val="nil"/>
              <w:right w:val="nil"/>
            </w:tcBorders>
          </w:tcPr>
          <w:p w14:paraId="6F545B7E" w14:textId="77777777" w:rsidR="00D607AE" w:rsidRDefault="00002F67">
            <w:pPr>
              <w:tabs>
                <w:tab w:val="left" w:pos="235"/>
              </w:tabs>
              <w:spacing w:before="120" w:after="120"/>
              <w:rPr>
                <w:rFonts w:eastAsia="STZhongsong"/>
                <w:color w:val="000000"/>
                <w:szCs w:val="23"/>
              </w:rPr>
            </w:pPr>
            <w:r>
              <w:rPr>
                <w:rFonts w:eastAsia="STZhongsong"/>
                <w:color w:val="000000"/>
                <w:szCs w:val="23"/>
              </w:rPr>
              <w:t>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D607AE" w:rsidRPr="00002F67" w14:paraId="33FB4789" w14:textId="77777777">
        <w:tc>
          <w:tcPr>
            <w:tcW w:w="3085" w:type="dxa"/>
            <w:tcBorders>
              <w:top w:val="nil"/>
              <w:left w:val="nil"/>
              <w:bottom w:val="nil"/>
              <w:right w:val="nil"/>
            </w:tcBorders>
          </w:tcPr>
          <w:p w14:paraId="466F3A61" w14:textId="77777777" w:rsidR="00D607AE" w:rsidRDefault="00002F67">
            <w:pPr>
              <w:spacing w:before="120" w:after="120"/>
              <w:ind w:left="993"/>
              <w:jc w:val="left"/>
              <w:rPr>
                <w:rFonts w:eastAsia="STZhongsong"/>
                <w:b/>
                <w:szCs w:val="23"/>
              </w:rPr>
            </w:pPr>
            <w:r>
              <w:rPr>
                <w:rFonts w:eastAsia="STZhongsong"/>
                <w:b/>
                <w:szCs w:val="23"/>
              </w:rPr>
              <w:t>"Pension Benefits"</w:t>
            </w:r>
          </w:p>
        </w:tc>
        <w:tc>
          <w:tcPr>
            <w:tcW w:w="6157" w:type="dxa"/>
            <w:tcBorders>
              <w:top w:val="nil"/>
              <w:left w:val="nil"/>
              <w:bottom w:val="nil"/>
              <w:right w:val="nil"/>
            </w:tcBorders>
          </w:tcPr>
          <w:p w14:paraId="341F6891" w14:textId="77777777" w:rsidR="00D607AE" w:rsidRDefault="00002F67">
            <w:pPr>
              <w:tabs>
                <w:tab w:val="left" w:pos="235"/>
              </w:tabs>
              <w:spacing w:before="120" w:after="120"/>
              <w:rPr>
                <w:rFonts w:eastAsia="STZhongsong"/>
                <w:color w:val="000000"/>
                <w:szCs w:val="23"/>
              </w:rPr>
            </w:pPr>
            <w:r>
              <w:rPr>
                <w:rFonts w:eastAsia="STZhongsong"/>
                <w:color w:val="000000"/>
                <w:szCs w:val="23"/>
              </w:rPr>
              <w:t>any benefits payable in respect of an individual (including but not limited to pensions related allowances and lump sums) relating to old age, invalidity or survivor’s benefits provided under an occupational pension scheme; and</w:t>
            </w:r>
          </w:p>
        </w:tc>
      </w:tr>
      <w:tr w:rsidR="00D607AE" w:rsidRPr="00002F67" w14:paraId="0FB17168" w14:textId="77777777">
        <w:tc>
          <w:tcPr>
            <w:tcW w:w="3085" w:type="dxa"/>
            <w:tcBorders>
              <w:top w:val="nil"/>
              <w:left w:val="nil"/>
              <w:bottom w:val="nil"/>
              <w:right w:val="nil"/>
            </w:tcBorders>
          </w:tcPr>
          <w:p w14:paraId="49F429D6" w14:textId="77777777" w:rsidR="00D607AE" w:rsidRDefault="00002F67">
            <w:pPr>
              <w:spacing w:before="120" w:after="120"/>
              <w:ind w:left="993"/>
              <w:jc w:val="left"/>
              <w:rPr>
                <w:rFonts w:eastAsia="STZhongsong"/>
                <w:b/>
                <w:szCs w:val="23"/>
              </w:rPr>
            </w:pPr>
            <w:r>
              <w:rPr>
                <w:rFonts w:eastAsia="STZhongsong"/>
                <w:b/>
                <w:szCs w:val="23"/>
              </w:rPr>
              <w:t>"Retirement Benefits Scheme"</w:t>
            </w:r>
          </w:p>
        </w:tc>
        <w:tc>
          <w:tcPr>
            <w:tcW w:w="6157" w:type="dxa"/>
            <w:tcBorders>
              <w:top w:val="nil"/>
              <w:left w:val="nil"/>
              <w:bottom w:val="nil"/>
              <w:right w:val="nil"/>
            </w:tcBorders>
          </w:tcPr>
          <w:p w14:paraId="36F5D321" w14:textId="77777777" w:rsidR="00D607AE" w:rsidRDefault="00002F67">
            <w:pPr>
              <w:tabs>
                <w:tab w:val="left" w:pos="235"/>
              </w:tabs>
              <w:spacing w:before="120" w:after="120"/>
              <w:rPr>
                <w:rFonts w:eastAsia="STZhongsong"/>
                <w:color w:val="000000"/>
                <w:szCs w:val="23"/>
              </w:rPr>
            </w:pPr>
            <w:proofErr w:type="gramStart"/>
            <w:r>
              <w:rPr>
                <w:rFonts w:eastAsia="STZhongsong"/>
                <w:color w:val="000000"/>
                <w:szCs w:val="23"/>
              </w:rPr>
              <w:t>a</w:t>
            </w:r>
            <w:proofErr w:type="gramEnd"/>
            <w:r>
              <w:rPr>
                <w:rFonts w:eastAsia="STZhongsong"/>
                <w:color w:val="000000"/>
                <w:szCs w:val="23"/>
              </w:rPr>
              <w:t xml:space="preserve"> pension scheme registered under Chapter 2 of Part 4 of the Finance Act 2004.</w:t>
            </w:r>
          </w:p>
        </w:tc>
      </w:tr>
    </w:tbl>
    <w:p w14:paraId="25586326" w14:textId="77777777" w:rsidR="00D607AE" w:rsidRDefault="00002F67">
      <w:pPr>
        <w:pStyle w:val="ScheduleL1"/>
        <w:rPr>
          <w:rFonts w:ascii="Times New Roman" w:eastAsia="Times New Roman" w:hAnsi="Times New Roman"/>
          <w:szCs w:val="23"/>
        </w:rPr>
      </w:pPr>
      <w:bookmarkStart w:id="108" w:name="_Ref498720651"/>
      <w:bookmarkStart w:id="109" w:name="_Ref466031983"/>
      <w:bookmarkStart w:id="110" w:name="_Toc477883428"/>
      <w:bookmarkStart w:id="111" w:name="_Toc479777845"/>
      <w:bookmarkStart w:id="112" w:name="_Toc479778295"/>
      <w:bookmarkStart w:id="113" w:name="_Toc481484600"/>
      <w:bookmarkStart w:id="114" w:name="_Toc481501356"/>
      <w:r>
        <w:rPr>
          <w:szCs w:val="23"/>
        </w:rPr>
        <w:lastRenderedPageBreak/>
        <w:t>MEMBERSHIP OF THE NHSPS</w:t>
      </w:r>
      <w:bookmarkEnd w:id="108"/>
    </w:p>
    <w:p w14:paraId="4AE05D67" w14:textId="77777777" w:rsidR="00D607AE" w:rsidRDefault="00002F67">
      <w:pPr>
        <w:pStyle w:val="ScheduleL2"/>
        <w:rPr>
          <w:szCs w:val="23"/>
        </w:rPr>
      </w:pPr>
      <w:bookmarkStart w:id="115" w:name="_Ref466031984"/>
      <w:bookmarkEnd w:id="109"/>
      <w:bookmarkEnd w:id="110"/>
      <w:bookmarkEnd w:id="111"/>
      <w:bookmarkEnd w:id="112"/>
      <w:bookmarkEnd w:id="113"/>
      <w:bookmarkEnd w:id="114"/>
      <w:r>
        <w:rPr>
          <w:szCs w:val="23"/>
        </w:rPr>
        <w:t>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115"/>
    </w:p>
    <w:p w14:paraId="1C6C25E4" w14:textId="77777777" w:rsidR="00D607AE" w:rsidRDefault="00002F67">
      <w:pPr>
        <w:pStyle w:val="ScheduleL2"/>
        <w:rPr>
          <w:szCs w:val="23"/>
        </w:rPr>
      </w:pPr>
      <w:bookmarkStart w:id="116" w:name="_Ref384805861"/>
      <w:r>
        <w:rPr>
          <w:szCs w:val="23"/>
        </w:rPr>
        <w:t>The Supplier must supply to the Buyer</w:t>
      </w:r>
      <w:r>
        <w:rPr>
          <w:i/>
          <w:szCs w:val="23"/>
        </w:rPr>
        <w:t xml:space="preserve"> </w:t>
      </w:r>
      <w:r>
        <w:rPr>
          <w:szCs w:val="23"/>
        </w:rPr>
        <w:t>by or as soon as reasonably practicable after the Relevant Transfer Date a complete copy of each Direction Letter.</w:t>
      </w:r>
      <w:bookmarkEnd w:id="116"/>
    </w:p>
    <w:p w14:paraId="7BF65DC3" w14:textId="77777777" w:rsidR="00D607AE" w:rsidRDefault="00002F67">
      <w:pPr>
        <w:pStyle w:val="ScheduleL2"/>
        <w:rPr>
          <w:szCs w:val="23"/>
        </w:rPr>
      </w:pPr>
      <w:bookmarkStart w:id="117" w:name="_Ref466031985"/>
      <w:r>
        <w:rPr>
          <w:szCs w:val="23"/>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117"/>
    </w:p>
    <w:p w14:paraId="3577FC0D" w14:textId="77777777" w:rsidR="00D607AE" w:rsidRDefault="00002F67">
      <w:pPr>
        <w:pStyle w:val="ScheduleL2"/>
        <w:rPr>
          <w:szCs w:val="23"/>
        </w:rPr>
      </w:pPr>
      <w:bookmarkStart w:id="118" w:name="_Ref466031986"/>
      <w:r>
        <w:rPr>
          <w:szCs w:val="23"/>
        </w:rPr>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bookmarkEnd w:id="118"/>
    </w:p>
    <w:p w14:paraId="570D3C16" w14:textId="77777777" w:rsidR="00D607AE" w:rsidRDefault="00002F67">
      <w:pPr>
        <w:pStyle w:val="ScheduleL2"/>
        <w:rPr>
          <w:szCs w:val="23"/>
        </w:rPr>
      </w:pPr>
      <w:bookmarkStart w:id="119" w:name="_Ref466031987"/>
      <w:r>
        <w:rPr>
          <w:szCs w:val="23"/>
        </w:rPr>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bookmarkEnd w:id="119"/>
    </w:p>
    <w:p w14:paraId="31C70F21" w14:textId="77777777" w:rsidR="00D607AE" w:rsidRDefault="00002F67">
      <w:pPr>
        <w:pStyle w:val="ScheduleL2"/>
        <w:rPr>
          <w:szCs w:val="23"/>
        </w:rPr>
      </w:pPr>
      <w:bookmarkStart w:id="120" w:name="_Ref466031988"/>
      <w:r>
        <w:rPr>
          <w:szCs w:val="23"/>
        </w:rPr>
        <w:t>The Supplier will (and will procure that its Subcontractors (if any) will) as soon as reasonably practicable and at its (or its Subcontractor’s) cost, obtain any guarantee, bond or indemnity that may from time to time be required by the Secretary of State for Health.</w:t>
      </w:r>
      <w:bookmarkEnd w:id="120"/>
    </w:p>
    <w:p w14:paraId="3C9C377C" w14:textId="77777777" w:rsidR="00D607AE" w:rsidRDefault="00002F67">
      <w:pPr>
        <w:pStyle w:val="ScheduleL1"/>
        <w:rPr>
          <w:szCs w:val="23"/>
        </w:rPr>
      </w:pPr>
      <w:bookmarkStart w:id="121" w:name="_Ref462746281"/>
      <w:bookmarkStart w:id="122" w:name="_Toc466028620"/>
      <w:bookmarkStart w:id="123" w:name="_Toc477883429"/>
      <w:bookmarkStart w:id="124" w:name="_Toc479777846"/>
      <w:bookmarkStart w:id="125" w:name="_Toc479778296"/>
      <w:bookmarkStart w:id="126" w:name="_Toc481484601"/>
      <w:bookmarkStart w:id="127" w:name="_Toc481501357"/>
      <w:r>
        <w:rPr>
          <w:szCs w:val="23"/>
        </w:rPr>
        <w:t>FUTURE SERVICE BENEFITS IN THE NHSPS</w:t>
      </w:r>
    </w:p>
    <w:p w14:paraId="5009695C" w14:textId="77777777" w:rsidR="00D607AE" w:rsidRDefault="00002F67">
      <w:pPr>
        <w:tabs>
          <w:tab w:val="left" w:pos="709"/>
        </w:tabs>
        <w:spacing w:before="120" w:after="120"/>
        <w:ind w:left="371" w:hanging="14"/>
        <w:rPr>
          <w:rFonts w:eastAsia="STZhongsong"/>
          <w:szCs w:val="23"/>
        </w:rPr>
      </w:pPr>
      <w:r>
        <w:rPr>
          <w:rFonts w:eastAsia="STZhongsong"/>
          <w:szCs w:val="23"/>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14:paraId="141BDC0C" w14:textId="77777777" w:rsidR="00D607AE" w:rsidRDefault="00002F67">
      <w:pPr>
        <w:pStyle w:val="ScheduleL1"/>
        <w:rPr>
          <w:szCs w:val="23"/>
        </w:rPr>
      </w:pPr>
      <w:bookmarkStart w:id="128" w:name="_Toc466028621"/>
      <w:bookmarkStart w:id="129" w:name="_Ref466031993"/>
      <w:bookmarkStart w:id="130" w:name="_Toc477883430"/>
      <w:bookmarkStart w:id="131" w:name="_Toc479777847"/>
      <w:bookmarkStart w:id="132" w:name="_Toc479778297"/>
      <w:bookmarkStart w:id="133" w:name="_Toc481484602"/>
      <w:bookmarkStart w:id="134" w:name="_Toc481501358"/>
      <w:bookmarkStart w:id="135" w:name="_Ref498720217"/>
      <w:bookmarkEnd w:id="121"/>
      <w:bookmarkEnd w:id="122"/>
      <w:bookmarkEnd w:id="123"/>
      <w:bookmarkEnd w:id="124"/>
      <w:bookmarkEnd w:id="125"/>
      <w:bookmarkEnd w:id="126"/>
      <w:bookmarkEnd w:id="127"/>
      <w:r>
        <w:rPr>
          <w:szCs w:val="23"/>
        </w:rPr>
        <w:t>NHS PREMATURE RETIREMENT RIGHTS</w:t>
      </w:r>
      <w:bookmarkEnd w:id="128"/>
      <w:bookmarkEnd w:id="129"/>
      <w:bookmarkEnd w:id="130"/>
      <w:bookmarkEnd w:id="131"/>
      <w:bookmarkEnd w:id="132"/>
      <w:bookmarkEnd w:id="133"/>
      <w:bookmarkEnd w:id="134"/>
      <w:bookmarkEnd w:id="135"/>
    </w:p>
    <w:p w14:paraId="0BD561E0" w14:textId="77777777" w:rsidR="00D607AE" w:rsidRDefault="00002F67">
      <w:pPr>
        <w:ind w:left="357"/>
        <w:outlineLvl w:val="2"/>
        <w:rPr>
          <w:rFonts w:eastAsia="STZhongsong"/>
          <w:szCs w:val="23"/>
        </w:rPr>
      </w:pPr>
      <w:bookmarkStart w:id="136" w:name="_Ref466031994"/>
      <w:r>
        <w:rPr>
          <w:rFonts w:eastAsia="STZhongsong"/>
          <w:szCs w:val="23"/>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136"/>
    </w:p>
    <w:p w14:paraId="1418739E" w14:textId="77777777" w:rsidR="00D607AE" w:rsidRDefault="00002F67">
      <w:pPr>
        <w:pStyle w:val="ScheduleL1"/>
        <w:rPr>
          <w:szCs w:val="23"/>
        </w:rPr>
      </w:pPr>
      <w:bookmarkStart w:id="137" w:name="_Ref463007288"/>
      <w:bookmarkStart w:id="138" w:name="_Toc466028622"/>
      <w:bookmarkStart w:id="139" w:name="_Toc477883431"/>
      <w:bookmarkStart w:id="140" w:name="_Toc479777848"/>
      <w:bookmarkStart w:id="141" w:name="_Toc479778298"/>
      <w:bookmarkStart w:id="142" w:name="_Toc481484603"/>
      <w:bookmarkStart w:id="143" w:name="_Toc481501359"/>
      <w:r>
        <w:rPr>
          <w:szCs w:val="23"/>
        </w:rPr>
        <w:t>BREACH AND CANCELLATION OF ANY DIRECTION LETTER(S) AND RIGHT OF SET-OFF</w:t>
      </w:r>
      <w:bookmarkEnd w:id="137"/>
      <w:bookmarkEnd w:id="138"/>
      <w:bookmarkEnd w:id="139"/>
      <w:bookmarkEnd w:id="140"/>
      <w:bookmarkEnd w:id="141"/>
      <w:bookmarkEnd w:id="142"/>
      <w:bookmarkEnd w:id="143"/>
    </w:p>
    <w:p w14:paraId="09183271" w14:textId="77777777" w:rsidR="00D607AE" w:rsidRDefault="00002F67">
      <w:pPr>
        <w:pStyle w:val="ScheduleL2"/>
        <w:rPr>
          <w:szCs w:val="23"/>
        </w:rPr>
      </w:pPr>
      <w:bookmarkStart w:id="144" w:name="_Ref466031995"/>
      <w:r>
        <w:rPr>
          <w:szCs w:val="23"/>
        </w:rPr>
        <w:t>The Supplier agrees that the Buyer is entitled to make arrangements with NHS Pensions for the Buyer to be notified if the Supplier (or its Subcontractor) breaches the terms of its Direction Letter. Notwithstanding the provisions of the foregoing, the Supplier shall notify the Buyer in the event that it (or its Subcontractor) breaches the terms of its Direction Letter.</w:t>
      </w:r>
      <w:bookmarkEnd w:id="144"/>
    </w:p>
    <w:p w14:paraId="0053DBD1" w14:textId="77777777" w:rsidR="00D607AE" w:rsidRDefault="00002F67">
      <w:pPr>
        <w:pStyle w:val="ScheduleL2"/>
        <w:rPr>
          <w:szCs w:val="23"/>
        </w:rPr>
      </w:pPr>
      <w:bookmarkStart w:id="145" w:name="_Ref464223868"/>
      <w:r>
        <w:rPr>
          <w:szCs w:val="23"/>
        </w:rPr>
        <w:lastRenderedPageBreak/>
        <w:t>If the Buyer is entitled to terminate the Contract or the Supplier (or its Subcontractor, if relevant) ceases to participate in the NHSPS for whatever other reason, the</w:t>
      </w:r>
      <w:r>
        <w:rPr>
          <w:i/>
          <w:szCs w:val="23"/>
        </w:rPr>
        <w:t xml:space="preserve"> </w:t>
      </w:r>
      <w:r>
        <w:rPr>
          <w:szCs w:val="23"/>
        </w:rPr>
        <w:t>Buyer</w:t>
      </w:r>
      <w:r>
        <w:rPr>
          <w:i/>
          <w:szCs w:val="23"/>
        </w:rPr>
        <w:t xml:space="preserve"> </w:t>
      </w:r>
      <w:r>
        <w:rPr>
          <w:szCs w:val="23"/>
        </w:rPr>
        <w:t>may in its sole discretion, and instead of exercising its right to terminate this Contract where relevant, permit the Supplier (or any such Subcontractor, as appropriate) to offer Broadly Comparable Pension Benefits, on such terms as decided by the Buyer. The provisions of Paragraph 10 (Bulk Transfer Obligations in relation to any Broadly Comparable pension scheme) of Part D: Pensions shall apply in relation to any Broadly Comparable pension scheme established by the Supplier or its Subcontractors.</w:t>
      </w:r>
      <w:bookmarkEnd w:id="145"/>
    </w:p>
    <w:p w14:paraId="2C248E55" w14:textId="77777777" w:rsidR="00D607AE" w:rsidRDefault="00002F67">
      <w:pPr>
        <w:pStyle w:val="ScheduleL2"/>
        <w:rPr>
          <w:szCs w:val="23"/>
        </w:rPr>
      </w:pPr>
      <w:bookmarkStart w:id="146" w:name="_Ref384820059"/>
      <w:r>
        <w:rPr>
          <w:szCs w:val="23"/>
        </w:rPr>
        <w:t>In addition to the Buyer's</w:t>
      </w:r>
      <w:r>
        <w:rPr>
          <w:i/>
          <w:szCs w:val="23"/>
        </w:rPr>
        <w:t xml:space="preserve"> </w:t>
      </w:r>
      <w:r>
        <w:rPr>
          <w:szCs w:val="23"/>
        </w:rPr>
        <w:t>right to terminate the Contract, if the Buyer is notified by NHS Pensions of any NHS Pension Scheme Arrears, the Buyer will be entitled to deduct all or part of those arrears from any amount due to be paid</w:t>
      </w:r>
      <w:bookmarkEnd w:id="146"/>
      <w:r>
        <w:rPr>
          <w:szCs w:val="23"/>
        </w:rPr>
        <w:t xml:space="preserve"> under this Contract or otherwise.</w:t>
      </w:r>
    </w:p>
    <w:p w14:paraId="11752F92" w14:textId="77777777" w:rsidR="00D607AE" w:rsidRDefault="00002F67">
      <w:pPr>
        <w:pStyle w:val="ScheduleL1"/>
        <w:rPr>
          <w:szCs w:val="23"/>
        </w:rPr>
      </w:pPr>
      <w:bookmarkStart w:id="147" w:name="_Toc466028623"/>
      <w:bookmarkStart w:id="148" w:name="_Ref466031996"/>
      <w:bookmarkStart w:id="149" w:name="_Toc477883432"/>
      <w:bookmarkStart w:id="150" w:name="_Toc479777849"/>
      <w:bookmarkStart w:id="151" w:name="_Toc479778299"/>
      <w:bookmarkStart w:id="152" w:name="_Toc481484604"/>
      <w:bookmarkStart w:id="153" w:name="_Toc481501360"/>
      <w:r>
        <w:rPr>
          <w:szCs w:val="23"/>
        </w:rPr>
        <w:t>COMPENSATION</w:t>
      </w:r>
      <w:bookmarkEnd w:id="147"/>
      <w:bookmarkEnd w:id="148"/>
      <w:bookmarkEnd w:id="149"/>
      <w:bookmarkEnd w:id="150"/>
      <w:bookmarkEnd w:id="151"/>
      <w:bookmarkEnd w:id="152"/>
      <w:bookmarkEnd w:id="153"/>
    </w:p>
    <w:p w14:paraId="57AEA9FC" w14:textId="77777777" w:rsidR="00D607AE" w:rsidRDefault="00002F67">
      <w:pPr>
        <w:pStyle w:val="ScheduleL2"/>
        <w:keepNext/>
        <w:rPr>
          <w:szCs w:val="23"/>
        </w:rPr>
      </w:pPr>
      <w:bookmarkStart w:id="154" w:name="_Ref466031997"/>
      <w:r>
        <w:rPr>
          <w:szCs w:val="23"/>
        </w:rPr>
        <w:t>If the Supplier (or its Subcontractor, if relevant) is unable to provide the NHSPS Eligible Employees with either:</w:t>
      </w:r>
      <w:bookmarkEnd w:id="154"/>
      <w:r>
        <w:rPr>
          <w:szCs w:val="23"/>
        </w:rPr>
        <w:t xml:space="preserve"> </w:t>
      </w:r>
    </w:p>
    <w:p w14:paraId="62BC205B" w14:textId="77777777" w:rsidR="00D607AE" w:rsidRDefault="00002F67">
      <w:pPr>
        <w:pStyle w:val="ScheduleL3"/>
        <w:rPr>
          <w:rFonts w:cs="Arial"/>
          <w:szCs w:val="23"/>
        </w:rPr>
      </w:pPr>
      <w:bookmarkStart w:id="155" w:name="_Ref466031998"/>
      <w:r>
        <w:rPr>
          <w:szCs w:val="23"/>
        </w:rPr>
        <w:t xml:space="preserve">membership of the NHSPS (having used its best endeavours to secure a Direction </w:t>
      </w:r>
      <w:r>
        <w:rPr>
          <w:rFonts w:cs="Arial"/>
          <w:szCs w:val="23"/>
        </w:rPr>
        <w:t>Letter); or</w:t>
      </w:r>
      <w:bookmarkEnd w:id="155"/>
      <w:r>
        <w:rPr>
          <w:rFonts w:cs="Arial"/>
          <w:szCs w:val="23"/>
        </w:rPr>
        <w:t xml:space="preserve"> </w:t>
      </w:r>
    </w:p>
    <w:p w14:paraId="66322DE8" w14:textId="77777777" w:rsidR="00D607AE" w:rsidRDefault="00002F67">
      <w:pPr>
        <w:pStyle w:val="ScheduleL3"/>
        <w:rPr>
          <w:rFonts w:ascii="Times New Roman" w:eastAsia="Times New Roman" w:hAnsi="Times New Roman" w:cs="Arial"/>
          <w:szCs w:val="23"/>
        </w:rPr>
      </w:pPr>
      <w:bookmarkStart w:id="156" w:name="_Ref466031999"/>
      <w:r>
        <w:rPr>
          <w:rFonts w:cs="Arial"/>
          <w:szCs w:val="23"/>
        </w:rPr>
        <w:t>access to</w:t>
      </w:r>
      <w:r>
        <w:rPr>
          <w:rFonts w:ascii="Times New Roman" w:eastAsia="Times New Roman" w:hAnsi="Times New Roman" w:cs="Arial"/>
          <w:szCs w:val="23"/>
        </w:rPr>
        <w:t xml:space="preserve"> a Broadly Comparable pension scheme,</w:t>
      </w:r>
      <w:bookmarkEnd w:id="156"/>
      <w:r>
        <w:rPr>
          <w:rFonts w:ascii="Times New Roman" w:eastAsia="Times New Roman" w:hAnsi="Times New Roman" w:cs="Arial"/>
          <w:szCs w:val="23"/>
        </w:rPr>
        <w:t xml:space="preserve"> </w:t>
      </w:r>
    </w:p>
    <w:p w14:paraId="2E17F7DF" w14:textId="77777777" w:rsidR="00D607AE" w:rsidRDefault="00002F67">
      <w:pPr>
        <w:tabs>
          <w:tab w:val="left" w:pos="709"/>
        </w:tabs>
        <w:spacing w:before="120" w:after="120"/>
        <w:ind w:left="993"/>
        <w:rPr>
          <w:szCs w:val="23"/>
        </w:rPr>
      </w:pPr>
      <w:r>
        <w:rPr>
          <w:szCs w:val="23"/>
        </w:rPr>
        <w:t>the Buyer</w:t>
      </w:r>
      <w:r>
        <w:rPr>
          <w:i/>
          <w:szCs w:val="23"/>
        </w:rPr>
        <w:t xml:space="preserve"> </w:t>
      </w:r>
      <w:r>
        <w:rPr>
          <w:szCs w:val="23"/>
        </w:rPr>
        <w:t>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Pr>
          <w:i/>
          <w:szCs w:val="23"/>
        </w:rPr>
        <w:t xml:space="preserve"> </w:t>
      </w:r>
      <w:r>
        <w:rPr>
          <w:szCs w:val="23"/>
        </w:rPr>
        <w:t>determining whether the level of compensation offered is reasonable in the circumstances.</w:t>
      </w:r>
    </w:p>
    <w:p w14:paraId="688CF0A3" w14:textId="77777777" w:rsidR="00D607AE" w:rsidRDefault="00002F67">
      <w:pPr>
        <w:pStyle w:val="ScheduleL2"/>
        <w:rPr>
          <w:szCs w:val="23"/>
        </w:rPr>
      </w:pPr>
      <w:bookmarkStart w:id="157" w:name="_Ref466032000"/>
      <w:r>
        <w:rPr>
          <w:szCs w:val="23"/>
        </w:rPr>
        <w:t>This flexibility for the Buyer to allow compensation in place of Pension Benefits is in addition to and not instead of the Buyer’s right to terminate the Contract.</w:t>
      </w:r>
      <w:bookmarkEnd w:id="157"/>
    </w:p>
    <w:p w14:paraId="01F89A20" w14:textId="77777777" w:rsidR="00D607AE" w:rsidRDefault="00002F67">
      <w:pPr>
        <w:pStyle w:val="ScheduleL1"/>
        <w:rPr>
          <w:szCs w:val="23"/>
        </w:rPr>
      </w:pPr>
      <w:bookmarkStart w:id="158" w:name="_Ref462824578"/>
      <w:bookmarkStart w:id="159" w:name="_Toc466028624"/>
      <w:bookmarkStart w:id="160" w:name="_Toc477883433"/>
      <w:bookmarkStart w:id="161" w:name="_Toc479777850"/>
      <w:bookmarkStart w:id="162" w:name="_Toc479778300"/>
      <w:bookmarkStart w:id="163" w:name="_Toc481484605"/>
      <w:bookmarkStart w:id="164" w:name="_Toc481501361"/>
      <w:r>
        <w:rPr>
          <w:szCs w:val="23"/>
        </w:rPr>
        <w:t>SUPPLIER INDEMNITIES</w:t>
      </w:r>
      <w:bookmarkEnd w:id="158"/>
      <w:bookmarkEnd w:id="159"/>
      <w:bookmarkEnd w:id="160"/>
      <w:bookmarkEnd w:id="161"/>
      <w:bookmarkEnd w:id="162"/>
      <w:bookmarkEnd w:id="163"/>
      <w:bookmarkEnd w:id="164"/>
    </w:p>
    <w:p w14:paraId="393D693C" w14:textId="77777777" w:rsidR="00D607AE" w:rsidRDefault="00002F67">
      <w:pPr>
        <w:pStyle w:val="ScheduleL2"/>
        <w:rPr>
          <w:szCs w:val="23"/>
        </w:rPr>
      </w:pPr>
      <w:bookmarkStart w:id="165" w:name="_Ref466032001"/>
      <w:r>
        <w:rPr>
          <w:szCs w:val="23"/>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65"/>
    </w:p>
    <w:p w14:paraId="03FAF1B4" w14:textId="77777777" w:rsidR="00D607AE" w:rsidRDefault="00002F67">
      <w:pPr>
        <w:pStyle w:val="ScheduleL2"/>
        <w:rPr>
          <w:szCs w:val="23"/>
        </w:rPr>
      </w:pPr>
      <w:bookmarkStart w:id="166" w:name="_Ref466032002"/>
      <w:r>
        <w:rPr>
          <w:szCs w:val="23"/>
        </w:rPr>
        <w:t>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bookmarkEnd w:id="166"/>
    </w:p>
    <w:p w14:paraId="4D1734C5" w14:textId="77777777" w:rsidR="00D607AE" w:rsidRDefault="00002F67">
      <w:pPr>
        <w:pStyle w:val="ScheduleL1"/>
        <w:rPr>
          <w:szCs w:val="23"/>
        </w:rPr>
      </w:pPr>
      <w:bookmarkStart w:id="167" w:name="_Toc466028625"/>
      <w:bookmarkStart w:id="168" w:name="_Ref466032005"/>
      <w:bookmarkStart w:id="169" w:name="_Toc477883434"/>
      <w:bookmarkStart w:id="170" w:name="_Toc479777851"/>
      <w:bookmarkStart w:id="171" w:name="_Toc479778301"/>
      <w:bookmarkStart w:id="172" w:name="_Toc481484606"/>
      <w:bookmarkStart w:id="173" w:name="_Toc481501362"/>
      <w:r>
        <w:rPr>
          <w:szCs w:val="23"/>
        </w:rPr>
        <w:t>SUBCONTRACTORS</w:t>
      </w:r>
      <w:bookmarkEnd w:id="167"/>
      <w:bookmarkEnd w:id="168"/>
      <w:bookmarkEnd w:id="169"/>
      <w:bookmarkEnd w:id="170"/>
      <w:bookmarkEnd w:id="171"/>
      <w:bookmarkEnd w:id="172"/>
      <w:bookmarkEnd w:id="173"/>
    </w:p>
    <w:p w14:paraId="0E50541E" w14:textId="77777777" w:rsidR="00D607AE" w:rsidRDefault="00002F67">
      <w:pPr>
        <w:pStyle w:val="ScheduleL2"/>
        <w:keepNext/>
        <w:rPr>
          <w:szCs w:val="23"/>
        </w:rPr>
      </w:pPr>
      <w:bookmarkStart w:id="174" w:name="_Ref466032006"/>
      <w:r>
        <w:rPr>
          <w:szCs w:val="23"/>
        </w:rPr>
        <w:t xml:space="preserve">If the Supplier enters into a Sub-Contract for the delivery of all or part or any component of the Services which will involve the transfer of employment of any NHSPS Eligible Employee it will impose obligations on its Subcontractor in identical terms as those imposed on the </w:t>
      </w:r>
      <w:r>
        <w:rPr>
          <w:szCs w:val="23"/>
        </w:rPr>
        <w:lastRenderedPageBreak/>
        <w:t>Supplier in relation to Pension Benefits and NHS Premature Retirement Rights by this  Annex, including requiring that:</w:t>
      </w:r>
      <w:bookmarkEnd w:id="174"/>
    </w:p>
    <w:p w14:paraId="3AB7C19D" w14:textId="77777777" w:rsidR="00D607AE" w:rsidRDefault="00002F67">
      <w:pPr>
        <w:pStyle w:val="ScheduleL3"/>
        <w:rPr>
          <w:rFonts w:cs="Arial"/>
          <w:szCs w:val="23"/>
        </w:rPr>
      </w:pPr>
      <w:bookmarkStart w:id="175" w:name="_Ref466032007"/>
      <w:r>
        <w:rPr>
          <w:szCs w:val="23"/>
        </w:rPr>
        <w:t xml:space="preserve">if the Supplier has secured a Direction Letter, the Subcontractor also secures a Direction Letter in respect of the NHSPS Eligible Employees for their future service with the Subcontractor as a condition of being awarded the  Sub-Contract and the </w:t>
      </w:r>
      <w:r>
        <w:rPr>
          <w:rFonts w:cs="Arial"/>
          <w:szCs w:val="23"/>
        </w:rPr>
        <w:t>Supplier shall be responsible for ensuring that the  Buyer receives a complete copy of each such Subcontractor direction letter as soon as reasonably practicable; or</w:t>
      </w:r>
      <w:bookmarkEnd w:id="175"/>
    </w:p>
    <w:p w14:paraId="368B7F26" w14:textId="77777777" w:rsidR="00D607AE" w:rsidRDefault="00002F67">
      <w:pPr>
        <w:pStyle w:val="ScheduleL3"/>
        <w:rPr>
          <w:szCs w:val="23"/>
        </w:rPr>
      </w:pPr>
      <w:bookmarkStart w:id="176" w:name="_Ref466032008"/>
      <w:r>
        <w:rPr>
          <w:rFonts w:cs="Arial"/>
          <w:szCs w:val="23"/>
        </w:rPr>
        <w:t>if, in accordance with Paragraph 4 of this Annex, the Supplier has offered the NHSPS Eligible Employees access to a pension scheme under which the benefits are Broadly Comparable to those provided under the NHSPS, the Subcontractor either secures a Direction</w:t>
      </w:r>
      <w:r>
        <w:rPr>
          <w:szCs w:val="23"/>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Paragraph 10 below (Bulk Transfer Obligations in relation to any Broadly Comparable Scheme) shall apply.</w:t>
      </w:r>
      <w:bookmarkEnd w:id="176"/>
    </w:p>
    <w:p w14:paraId="2099A9DA" w14:textId="77777777" w:rsidR="00D607AE" w:rsidRDefault="00002F67">
      <w:pPr>
        <w:pStyle w:val="ScheduleL2"/>
        <w:rPr>
          <w:szCs w:val="23"/>
        </w:rPr>
      </w:pPr>
      <w:bookmarkStart w:id="177" w:name="_Ref466032009"/>
      <w:r>
        <w:rPr>
          <w:szCs w:val="23"/>
        </w:rPr>
        <w:t>The Supplier shall procure that each Subcontractor provides indemnities to the Buyer, NHS Pensions and/or any Replacement Supplier and/or Replacement Subcontractor that are identical to the indemnities set out in Paragraph 7 of this Annex B. Where a Subcontractor fails to satisfy any claim made under such one or more indemnities, the Supplier will be liable for satisfying any such claim as if it had provided the indemnity itself.</w:t>
      </w:r>
      <w:bookmarkEnd w:id="177"/>
    </w:p>
    <w:p w14:paraId="4215C9E4" w14:textId="77777777" w:rsidR="00D607AE" w:rsidRDefault="00D607AE">
      <w:pPr>
        <w:rPr>
          <w:rFonts w:eastAsia="STZhongsong"/>
          <w:szCs w:val="23"/>
        </w:rPr>
      </w:pPr>
    </w:p>
    <w:p w14:paraId="58EF046C" w14:textId="77777777" w:rsidR="00D607AE" w:rsidRDefault="00002F67">
      <w:pPr>
        <w:spacing w:after="120"/>
        <w:jc w:val="center"/>
        <w:rPr>
          <w:rFonts w:eastAsia="STZhongsong"/>
          <w:b/>
          <w:szCs w:val="23"/>
          <w:lang w:val="en-US"/>
        </w:rPr>
      </w:pPr>
      <w:r>
        <w:rPr>
          <w:rFonts w:eastAsia="STZhongsong"/>
          <w:b/>
          <w:szCs w:val="23"/>
          <w:u w:val="single"/>
        </w:rPr>
        <w:br w:type="page"/>
      </w:r>
      <w:r>
        <w:rPr>
          <w:rFonts w:eastAsia="STZhongsong"/>
          <w:b/>
          <w:szCs w:val="23"/>
        </w:rPr>
        <w:lastRenderedPageBreak/>
        <w:t>Annex D3: LGPS</w:t>
      </w:r>
    </w:p>
    <w:p w14:paraId="64897FD8" w14:textId="77777777" w:rsidR="00D607AE" w:rsidRDefault="00002F67">
      <w:pPr>
        <w:rPr>
          <w:rFonts w:eastAsia="STZhongsong"/>
          <w:b/>
          <w:szCs w:val="23"/>
          <w:highlight w:val="yellow"/>
        </w:rPr>
      </w:pPr>
      <w:r>
        <w:rPr>
          <w:rFonts w:eastAsia="STZhongsong"/>
          <w:b/>
          <w:color w:val="FF0000"/>
          <w:szCs w:val="23"/>
          <w:highlight w:val="yellow"/>
        </w:rPr>
        <w:t>[</w:t>
      </w:r>
      <w:r>
        <w:rPr>
          <w:rFonts w:eastAsia="STZhongsong"/>
          <w:b/>
          <w:szCs w:val="23"/>
          <w:highlight w:val="yellow"/>
        </w:rPr>
        <w:t>LGPS Guidance Notes</w:t>
      </w:r>
    </w:p>
    <w:p w14:paraId="09FA6ECB" w14:textId="77777777" w:rsidR="00D607AE" w:rsidRDefault="00002F67">
      <w:pPr>
        <w:rPr>
          <w:rFonts w:eastAsia="STZhongsong"/>
          <w:b/>
          <w:i/>
          <w:szCs w:val="23"/>
          <w:highlight w:val="yellow"/>
        </w:rPr>
      </w:pPr>
      <w:r>
        <w:rPr>
          <w:rFonts w:eastAsia="STZhongsong"/>
          <w:b/>
          <w:i/>
          <w:szCs w:val="23"/>
          <w:highlight w:val="yellow"/>
        </w:rPr>
        <w:t>[DN: Note the LGPS unlike the CSPS &amp; NHSPS is a funded scheme which has associated cost implications as follows:</w:t>
      </w:r>
    </w:p>
    <w:p w14:paraId="677915BF" w14:textId="77777777" w:rsidR="00D607AE" w:rsidRDefault="00002F67">
      <w:pPr>
        <w:rPr>
          <w:rFonts w:eastAsia="STZhongsong"/>
          <w:b/>
          <w:i/>
          <w:szCs w:val="23"/>
          <w:highlight w:val="yellow"/>
        </w:rPr>
      </w:pPr>
      <w:r>
        <w:rPr>
          <w:rFonts w:eastAsia="STZhongsong"/>
          <w:b/>
          <w:i/>
          <w:szCs w:val="23"/>
          <w:highlight w:val="yellow"/>
        </w:rPr>
        <w:t>There is not 1 LGPS but approx. 90 different Funds, each with their own separate Scheme Employer and Administering Authority, it is important to identify the correct one(s) and amend the definition of "Fund" accordingly.</w:t>
      </w:r>
    </w:p>
    <w:p w14:paraId="2B441C7A" w14:textId="77777777" w:rsidR="00D607AE" w:rsidRDefault="00002F67">
      <w:pPr>
        <w:rPr>
          <w:rFonts w:eastAsia="STZhongsong"/>
          <w:b/>
          <w:i/>
          <w:szCs w:val="23"/>
          <w:highlight w:val="yellow"/>
        </w:rPr>
      </w:pPr>
      <w:r>
        <w:rPr>
          <w:rFonts w:eastAsia="STZhongsong"/>
          <w:b/>
          <w:i/>
          <w:szCs w:val="23"/>
          <w:highlight w:val="yellow"/>
        </w:rPr>
        <w:t xml:space="preserve">It is important to check whether CCS and or the Buyer can actually participate in the LGPS. Where a </w:t>
      </w:r>
      <w:proofErr w:type="spellStart"/>
      <w:r>
        <w:rPr>
          <w:rFonts w:eastAsia="STZhongsong"/>
          <w:b/>
          <w:i/>
          <w:szCs w:val="23"/>
          <w:highlight w:val="yellow"/>
        </w:rPr>
        <w:t>Gov</w:t>
      </w:r>
      <w:proofErr w:type="spellEnd"/>
      <w:r>
        <w:rPr>
          <w:rFonts w:eastAsia="STZhongsong"/>
          <w:b/>
          <w:i/>
          <w:szCs w:val="23"/>
          <w:highlight w:val="yellow"/>
        </w:rPr>
        <w:t xml:space="preserve"> </w:t>
      </w:r>
      <w:proofErr w:type="spellStart"/>
      <w:r>
        <w:rPr>
          <w:rFonts w:eastAsia="STZhongsong"/>
          <w:b/>
          <w:i/>
          <w:szCs w:val="23"/>
          <w:highlight w:val="yellow"/>
        </w:rPr>
        <w:t>Dept</w:t>
      </w:r>
      <w:proofErr w:type="spellEnd"/>
      <w:r>
        <w:rPr>
          <w:rFonts w:eastAsia="STZhongsong"/>
          <w:b/>
          <w:i/>
          <w:szCs w:val="23"/>
          <w:highlight w:val="yellow"/>
        </w:rPr>
        <w:t xml:space="preserve"> is taking on services which were formerly the responsibility of a Local </w:t>
      </w:r>
      <w:proofErr w:type="gramStart"/>
      <w:r>
        <w:rPr>
          <w:rFonts w:eastAsia="STZhongsong"/>
          <w:b/>
          <w:i/>
          <w:szCs w:val="23"/>
          <w:highlight w:val="yellow"/>
        </w:rPr>
        <w:t>Authority  it</w:t>
      </w:r>
      <w:proofErr w:type="gramEnd"/>
      <w:r>
        <w:rPr>
          <w:rFonts w:eastAsia="STZhongsong"/>
          <w:b/>
          <w:i/>
          <w:szCs w:val="23"/>
          <w:highlight w:val="yellow"/>
        </w:rPr>
        <w:t xml:space="preserve"> may be necessary to obtain secretary of state approval for participation in the LGPS, this is because the services are being provided to Gov. Dept. and not to a Local Authority. </w:t>
      </w:r>
    </w:p>
    <w:p w14:paraId="6F0530DC" w14:textId="77777777" w:rsidR="00D607AE" w:rsidRDefault="00002F67">
      <w:pPr>
        <w:rPr>
          <w:rFonts w:eastAsia="STZhongsong"/>
          <w:b/>
          <w:i/>
          <w:szCs w:val="23"/>
        </w:rPr>
      </w:pPr>
      <w:r>
        <w:rPr>
          <w:rFonts w:eastAsia="STZhongsong"/>
          <w:b/>
          <w:i/>
          <w:szCs w:val="23"/>
          <w:highlight w:val="yellow"/>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35305F22" w14:textId="77777777" w:rsidR="00D607AE" w:rsidRDefault="00002F67">
      <w:pPr>
        <w:pStyle w:val="ScheduleL1"/>
        <w:numPr>
          <w:ilvl w:val="0"/>
          <w:numId w:val="26"/>
        </w:numPr>
        <w:tabs>
          <w:tab w:val="clear" w:pos="720"/>
        </w:tabs>
        <w:ind w:left="357" w:hanging="357"/>
        <w:rPr>
          <w:rFonts w:ascii="Times New Roman" w:hAnsi="Times New Roman"/>
          <w:szCs w:val="23"/>
          <w:lang w:val="en-US"/>
        </w:rPr>
      </w:pPr>
      <w:r>
        <w:rPr>
          <w:szCs w:val="23"/>
        </w:rPr>
        <w:t>DEFINITIONS</w:t>
      </w:r>
    </w:p>
    <w:p w14:paraId="1BBE74E5" w14:textId="77777777" w:rsidR="00D607AE" w:rsidRDefault="00002F67">
      <w:pPr>
        <w:pStyle w:val="ScheduleL2"/>
        <w:keepNext/>
        <w:rPr>
          <w:rFonts w:ascii="Times New Roman" w:eastAsia="Times New Roman" w:hAnsi="Times New Roman" w:cs="Arial"/>
          <w:szCs w:val="23"/>
        </w:rPr>
      </w:pPr>
      <w:r>
        <w:rPr>
          <w:rFonts w:ascii="Times New Roman" w:eastAsia="Times New Roman" w:hAnsi="Times New Roman" w:cs="Arial"/>
          <w:szCs w:val="23"/>
        </w:rPr>
        <w:t xml:space="preserve">In this Annex D3: LGPS to Part D: Pensions, the following </w:t>
      </w:r>
      <w:r>
        <w:rPr>
          <w:szCs w:val="23"/>
        </w:rPr>
        <w:t>words have the following meanings and they shall supplement Schedule J1: Definitions</w:t>
      </w:r>
      <w:r>
        <w:rPr>
          <w:rFonts w:ascii="Times New Roman" w:eastAsia="Times New Roman" w:hAnsi="Times New Roman" w:cs="Arial"/>
          <w:szCs w:val="23"/>
        </w:rPr>
        <w:t>:</w:t>
      </w:r>
    </w:p>
    <w:tbl>
      <w:tblPr>
        <w:tblW w:w="0" w:type="auto"/>
        <w:tblLayout w:type="fixed"/>
        <w:tblLook w:val="0000" w:firstRow="0" w:lastRow="0" w:firstColumn="0" w:lastColumn="0" w:noHBand="0" w:noVBand="0"/>
      </w:tblPr>
      <w:tblGrid>
        <w:gridCol w:w="2314"/>
        <w:gridCol w:w="6928"/>
      </w:tblGrid>
      <w:tr w:rsidR="00D607AE" w:rsidRPr="00002F67" w14:paraId="24183519" w14:textId="77777777">
        <w:trPr>
          <w:trHeight w:val="1062"/>
        </w:trPr>
        <w:tc>
          <w:tcPr>
            <w:tcW w:w="2314" w:type="dxa"/>
            <w:tcBorders>
              <w:top w:val="nil"/>
              <w:left w:val="nil"/>
              <w:right w:val="nil"/>
            </w:tcBorders>
          </w:tcPr>
          <w:p w14:paraId="74972AFD" w14:textId="77777777" w:rsidR="00D607AE" w:rsidRDefault="00002F67">
            <w:pPr>
              <w:spacing w:after="0"/>
              <w:ind w:left="720"/>
              <w:rPr>
                <w:szCs w:val="23"/>
              </w:rPr>
            </w:pPr>
            <w:r>
              <w:rPr>
                <w:szCs w:val="23"/>
              </w:rPr>
              <w:t>"</w:t>
            </w:r>
            <w:r>
              <w:rPr>
                <w:b/>
                <w:szCs w:val="23"/>
              </w:rPr>
              <w:t>Administering Authority</w:t>
            </w:r>
            <w:r>
              <w:rPr>
                <w:szCs w:val="23"/>
              </w:rPr>
              <w:t>"</w:t>
            </w:r>
          </w:p>
          <w:p w14:paraId="665915C8" w14:textId="77777777" w:rsidR="00D607AE" w:rsidRDefault="00D607AE">
            <w:pPr>
              <w:ind w:left="720"/>
              <w:rPr>
                <w:szCs w:val="23"/>
              </w:rPr>
            </w:pPr>
          </w:p>
        </w:tc>
        <w:tc>
          <w:tcPr>
            <w:tcW w:w="6928" w:type="dxa"/>
            <w:tcBorders>
              <w:top w:val="nil"/>
              <w:left w:val="nil"/>
              <w:right w:val="nil"/>
            </w:tcBorders>
          </w:tcPr>
          <w:p w14:paraId="02A58CD3" w14:textId="77777777" w:rsidR="00D607AE" w:rsidRDefault="00002F67">
            <w:pPr>
              <w:spacing w:after="0"/>
              <w:rPr>
                <w:szCs w:val="23"/>
              </w:rPr>
            </w:pPr>
            <w:r>
              <w:rPr>
                <w:szCs w:val="23"/>
              </w:rPr>
              <w:t xml:space="preserve">in relation to </w:t>
            </w:r>
            <w:r>
              <w:rPr>
                <w:b/>
                <w:szCs w:val="23"/>
                <w:highlight w:val="yellow"/>
              </w:rPr>
              <w:t>the Fund [insert name],</w:t>
            </w:r>
            <w:r>
              <w:rPr>
                <w:szCs w:val="23"/>
              </w:rPr>
              <w:t>the relevant Administering Authority of that Fund for the purposes of the Local Government Pension Scheme Regulations 2013;</w:t>
            </w:r>
          </w:p>
        </w:tc>
      </w:tr>
      <w:tr w:rsidR="00D607AE" w:rsidRPr="00002F67" w14:paraId="360E8566" w14:textId="77777777">
        <w:trPr>
          <w:trHeight w:val="653"/>
        </w:trPr>
        <w:tc>
          <w:tcPr>
            <w:tcW w:w="2314" w:type="dxa"/>
            <w:tcBorders>
              <w:top w:val="nil"/>
              <w:left w:val="nil"/>
              <w:bottom w:val="nil"/>
              <w:right w:val="nil"/>
            </w:tcBorders>
            <w:shd w:val="clear" w:color="auto" w:fill="auto"/>
          </w:tcPr>
          <w:p w14:paraId="4FB9CDA2" w14:textId="77777777" w:rsidR="00D607AE" w:rsidRDefault="00002F67">
            <w:pPr>
              <w:ind w:left="720"/>
              <w:rPr>
                <w:szCs w:val="23"/>
              </w:rPr>
            </w:pPr>
            <w:r>
              <w:rPr>
                <w:szCs w:val="23"/>
              </w:rPr>
              <w:t>“</w:t>
            </w:r>
            <w:r>
              <w:rPr>
                <w:b/>
                <w:szCs w:val="23"/>
              </w:rPr>
              <w:t>Excess Amount</w:t>
            </w:r>
            <w:r>
              <w:rPr>
                <w:szCs w:val="23"/>
              </w:rPr>
              <w:t>”</w:t>
            </w:r>
          </w:p>
        </w:tc>
        <w:tc>
          <w:tcPr>
            <w:tcW w:w="6928" w:type="dxa"/>
            <w:tcBorders>
              <w:top w:val="nil"/>
              <w:left w:val="nil"/>
              <w:bottom w:val="nil"/>
              <w:right w:val="nil"/>
            </w:tcBorders>
            <w:shd w:val="clear" w:color="auto" w:fill="auto"/>
          </w:tcPr>
          <w:p w14:paraId="2612B09F" w14:textId="77777777" w:rsidR="00D607AE" w:rsidRDefault="00002F67">
            <w:pPr>
              <w:rPr>
                <w:szCs w:val="23"/>
              </w:rPr>
            </w:pPr>
            <w:proofErr w:type="gramStart"/>
            <w:r>
              <w:rPr>
                <w:szCs w:val="23"/>
              </w:rPr>
              <w:t>any</w:t>
            </w:r>
            <w:proofErr w:type="gramEnd"/>
            <w:r>
              <w:rPr>
                <w:szCs w:val="23"/>
              </w:rPr>
              <w:t xml:space="preserve"> Pension Costs incurred by the Supplier or its Subcontractors in any Pension Period that exceed the Pension Base Cost.</w:t>
            </w:r>
          </w:p>
        </w:tc>
      </w:tr>
      <w:tr w:rsidR="00D607AE" w:rsidRPr="00002F67" w14:paraId="443B6E1D" w14:textId="77777777">
        <w:trPr>
          <w:trHeight w:val="653"/>
        </w:trPr>
        <w:tc>
          <w:tcPr>
            <w:tcW w:w="2314" w:type="dxa"/>
            <w:tcBorders>
              <w:top w:val="nil"/>
              <w:left w:val="nil"/>
              <w:bottom w:val="nil"/>
              <w:right w:val="nil"/>
            </w:tcBorders>
          </w:tcPr>
          <w:p w14:paraId="66207863" w14:textId="77777777" w:rsidR="00D607AE" w:rsidRDefault="00002F67">
            <w:pPr>
              <w:ind w:left="720"/>
              <w:rPr>
                <w:szCs w:val="23"/>
              </w:rPr>
            </w:pPr>
            <w:r>
              <w:rPr>
                <w:szCs w:val="23"/>
              </w:rPr>
              <w:t>"</w:t>
            </w:r>
            <w:r>
              <w:rPr>
                <w:b/>
                <w:szCs w:val="23"/>
              </w:rPr>
              <w:t>Fund Actuary</w:t>
            </w:r>
            <w:r>
              <w:rPr>
                <w:szCs w:val="23"/>
              </w:rPr>
              <w:t>"</w:t>
            </w:r>
          </w:p>
        </w:tc>
        <w:tc>
          <w:tcPr>
            <w:tcW w:w="6928" w:type="dxa"/>
            <w:tcBorders>
              <w:top w:val="nil"/>
              <w:left w:val="nil"/>
              <w:bottom w:val="nil"/>
              <w:right w:val="nil"/>
            </w:tcBorders>
          </w:tcPr>
          <w:p w14:paraId="06B7621C" w14:textId="77777777" w:rsidR="00D607AE" w:rsidRDefault="00002F67">
            <w:pPr>
              <w:rPr>
                <w:szCs w:val="23"/>
              </w:rPr>
            </w:pPr>
            <w:r>
              <w:rPr>
                <w:szCs w:val="23"/>
              </w:rPr>
              <w:t>the actuary to a Fund appointed by the Administering Authority of that Fund;</w:t>
            </w:r>
          </w:p>
        </w:tc>
      </w:tr>
      <w:tr w:rsidR="00D607AE" w:rsidRPr="00002F67" w14:paraId="21211A66" w14:textId="77777777">
        <w:trPr>
          <w:trHeight w:val="337"/>
        </w:trPr>
        <w:tc>
          <w:tcPr>
            <w:tcW w:w="2314" w:type="dxa"/>
            <w:tcBorders>
              <w:top w:val="nil"/>
              <w:left w:val="nil"/>
              <w:bottom w:val="nil"/>
              <w:right w:val="nil"/>
            </w:tcBorders>
          </w:tcPr>
          <w:p w14:paraId="36FC333D" w14:textId="77777777" w:rsidR="00D607AE" w:rsidRDefault="00002F67">
            <w:pPr>
              <w:ind w:left="720"/>
              <w:rPr>
                <w:szCs w:val="23"/>
              </w:rPr>
            </w:pPr>
            <w:r>
              <w:rPr>
                <w:szCs w:val="23"/>
              </w:rPr>
              <w:t>"</w:t>
            </w:r>
            <w:r>
              <w:rPr>
                <w:b/>
                <w:szCs w:val="23"/>
              </w:rPr>
              <w:t>Fund</w:t>
            </w:r>
            <w:r>
              <w:rPr>
                <w:szCs w:val="23"/>
              </w:rPr>
              <w:t>"</w:t>
            </w:r>
          </w:p>
        </w:tc>
        <w:tc>
          <w:tcPr>
            <w:tcW w:w="6928" w:type="dxa"/>
            <w:tcBorders>
              <w:top w:val="nil"/>
              <w:left w:val="nil"/>
              <w:bottom w:val="nil"/>
              <w:right w:val="nil"/>
            </w:tcBorders>
          </w:tcPr>
          <w:p w14:paraId="044689CC" w14:textId="77777777" w:rsidR="00D607AE" w:rsidRDefault="00002F67">
            <w:pPr>
              <w:rPr>
                <w:b/>
                <w:szCs w:val="23"/>
                <w:highlight w:val="yellow"/>
              </w:rPr>
            </w:pPr>
            <w:r>
              <w:rPr>
                <w:b/>
                <w:szCs w:val="23"/>
                <w:highlight w:val="yellow"/>
              </w:rPr>
              <w:t>[insert name], a pension fund within the LGPS;</w:t>
            </w:r>
          </w:p>
        </w:tc>
      </w:tr>
      <w:tr w:rsidR="00D607AE" w:rsidRPr="00002F67" w14:paraId="459FBB50" w14:textId="77777777">
        <w:trPr>
          <w:trHeight w:val="1269"/>
        </w:trPr>
        <w:tc>
          <w:tcPr>
            <w:tcW w:w="2314" w:type="dxa"/>
            <w:tcBorders>
              <w:top w:val="nil"/>
              <w:left w:val="nil"/>
              <w:bottom w:val="nil"/>
              <w:right w:val="nil"/>
            </w:tcBorders>
          </w:tcPr>
          <w:p w14:paraId="0DFE72E1" w14:textId="77777777" w:rsidR="00D607AE" w:rsidRDefault="00002F67">
            <w:pPr>
              <w:ind w:left="720"/>
              <w:rPr>
                <w:szCs w:val="23"/>
              </w:rPr>
            </w:pPr>
            <w:r>
              <w:rPr>
                <w:szCs w:val="23"/>
              </w:rPr>
              <w:t>"</w:t>
            </w:r>
            <w:r>
              <w:rPr>
                <w:b/>
                <w:szCs w:val="23"/>
              </w:rPr>
              <w:t>LGPS</w:t>
            </w:r>
            <w:r>
              <w:rPr>
                <w:szCs w:val="23"/>
              </w:rPr>
              <w:t>"</w:t>
            </w:r>
          </w:p>
        </w:tc>
        <w:tc>
          <w:tcPr>
            <w:tcW w:w="6928" w:type="dxa"/>
            <w:tcBorders>
              <w:top w:val="nil"/>
              <w:left w:val="nil"/>
              <w:bottom w:val="nil"/>
              <w:right w:val="nil"/>
            </w:tcBorders>
          </w:tcPr>
          <w:p w14:paraId="7589E193" w14:textId="77777777" w:rsidR="00D607AE" w:rsidRDefault="00002F67">
            <w:pPr>
              <w:rPr>
                <w:szCs w:val="23"/>
              </w:rPr>
            </w:pPr>
            <w:r>
              <w:rPr>
                <w:szCs w:val="23"/>
              </w:rPr>
              <w:t>the Local Government Pension Scheme as governed by the LGPS Regulations, and any other regulations (in each case as amended from time to time) which are from time  to time applicable to the Local Government Pension Scheme;</w:t>
            </w:r>
          </w:p>
        </w:tc>
      </w:tr>
      <w:tr w:rsidR="00D607AE" w:rsidRPr="00002F67" w14:paraId="28F5BB60" w14:textId="77777777">
        <w:trPr>
          <w:trHeight w:val="990"/>
        </w:trPr>
        <w:tc>
          <w:tcPr>
            <w:tcW w:w="2314" w:type="dxa"/>
            <w:tcBorders>
              <w:top w:val="nil"/>
              <w:left w:val="nil"/>
              <w:bottom w:val="nil"/>
              <w:right w:val="nil"/>
            </w:tcBorders>
          </w:tcPr>
          <w:p w14:paraId="1BE1D018" w14:textId="77777777" w:rsidR="00D607AE" w:rsidRDefault="00002F67">
            <w:pPr>
              <w:ind w:left="720"/>
              <w:rPr>
                <w:szCs w:val="23"/>
              </w:rPr>
            </w:pPr>
            <w:r>
              <w:rPr>
                <w:szCs w:val="23"/>
              </w:rPr>
              <w:t>"</w:t>
            </w:r>
            <w:r>
              <w:rPr>
                <w:b/>
                <w:szCs w:val="23"/>
              </w:rPr>
              <w:t>LGPS Admission Agreement</w:t>
            </w:r>
            <w:r>
              <w:rPr>
                <w:szCs w:val="23"/>
              </w:rPr>
              <w:t>"</w:t>
            </w:r>
          </w:p>
        </w:tc>
        <w:tc>
          <w:tcPr>
            <w:tcW w:w="6928" w:type="dxa"/>
            <w:tcBorders>
              <w:top w:val="nil"/>
              <w:left w:val="nil"/>
              <w:bottom w:val="nil"/>
              <w:right w:val="nil"/>
            </w:tcBorders>
          </w:tcPr>
          <w:p w14:paraId="40F8EF00" w14:textId="77777777" w:rsidR="00D607AE" w:rsidRDefault="00002F67">
            <w:pPr>
              <w:rPr>
                <w:szCs w:val="23"/>
              </w:rPr>
            </w:pPr>
            <w:r>
              <w:rPr>
                <w:szCs w:val="23"/>
              </w:rPr>
              <w:t>an admission agreement within the meaning  in Schedule 1 of the  Local Government Pension Scheme Regulations 2013;</w:t>
            </w:r>
          </w:p>
        </w:tc>
      </w:tr>
      <w:tr w:rsidR="00D607AE" w:rsidRPr="00002F67" w14:paraId="1B0B5B37" w14:textId="77777777">
        <w:trPr>
          <w:trHeight w:val="900"/>
        </w:trPr>
        <w:tc>
          <w:tcPr>
            <w:tcW w:w="2314" w:type="dxa"/>
            <w:tcBorders>
              <w:top w:val="nil"/>
              <w:left w:val="nil"/>
              <w:bottom w:val="nil"/>
              <w:right w:val="nil"/>
            </w:tcBorders>
          </w:tcPr>
          <w:p w14:paraId="76222CAF" w14:textId="77777777" w:rsidR="00D607AE" w:rsidRDefault="00002F67">
            <w:pPr>
              <w:ind w:left="720"/>
              <w:rPr>
                <w:szCs w:val="23"/>
              </w:rPr>
            </w:pPr>
            <w:r>
              <w:rPr>
                <w:szCs w:val="23"/>
              </w:rPr>
              <w:t>"</w:t>
            </w:r>
            <w:r>
              <w:rPr>
                <w:b/>
                <w:szCs w:val="23"/>
              </w:rPr>
              <w:t>LGPS Admission Body</w:t>
            </w:r>
            <w:r>
              <w:rPr>
                <w:szCs w:val="23"/>
              </w:rPr>
              <w:t>"</w:t>
            </w:r>
          </w:p>
        </w:tc>
        <w:tc>
          <w:tcPr>
            <w:tcW w:w="6928" w:type="dxa"/>
            <w:tcBorders>
              <w:top w:val="nil"/>
              <w:left w:val="nil"/>
              <w:bottom w:val="nil"/>
              <w:right w:val="nil"/>
            </w:tcBorders>
          </w:tcPr>
          <w:p w14:paraId="18193B79" w14:textId="77777777" w:rsidR="00D607AE" w:rsidRDefault="00002F67">
            <w:pPr>
              <w:rPr>
                <w:szCs w:val="23"/>
              </w:rPr>
            </w:pPr>
            <w:r>
              <w:rPr>
                <w:szCs w:val="23"/>
              </w:rPr>
              <w:t>an admission body (within the meaning of Part 3 of Schedule 2 of the  Local Government Pension Scheme Regulations 2013);</w:t>
            </w:r>
          </w:p>
        </w:tc>
      </w:tr>
      <w:tr w:rsidR="00D607AE" w:rsidRPr="00002F67" w14:paraId="30F88769" w14:textId="77777777">
        <w:trPr>
          <w:trHeight w:val="900"/>
        </w:trPr>
        <w:tc>
          <w:tcPr>
            <w:tcW w:w="2314" w:type="dxa"/>
            <w:tcBorders>
              <w:top w:val="nil"/>
              <w:left w:val="nil"/>
              <w:bottom w:val="nil"/>
              <w:right w:val="nil"/>
            </w:tcBorders>
          </w:tcPr>
          <w:p w14:paraId="1DB700AF" w14:textId="77777777" w:rsidR="00D607AE" w:rsidRDefault="00002F67">
            <w:pPr>
              <w:ind w:left="720"/>
              <w:rPr>
                <w:szCs w:val="23"/>
              </w:rPr>
            </w:pPr>
            <w:r>
              <w:rPr>
                <w:szCs w:val="23"/>
              </w:rPr>
              <w:lastRenderedPageBreak/>
              <w:t>"</w:t>
            </w:r>
            <w:r>
              <w:rPr>
                <w:b/>
                <w:szCs w:val="23"/>
              </w:rPr>
              <w:t>LGPS Eligible Employees</w:t>
            </w:r>
            <w:r>
              <w:rPr>
                <w:szCs w:val="23"/>
              </w:rPr>
              <w:t>"</w:t>
            </w:r>
          </w:p>
        </w:tc>
        <w:tc>
          <w:tcPr>
            <w:tcW w:w="6928" w:type="dxa"/>
            <w:tcBorders>
              <w:top w:val="nil"/>
              <w:left w:val="nil"/>
              <w:bottom w:val="nil"/>
              <w:right w:val="nil"/>
            </w:tcBorders>
          </w:tcPr>
          <w:p w14:paraId="10A1F9CA" w14:textId="77777777" w:rsidR="00D607AE" w:rsidRDefault="00002F67">
            <w:pPr>
              <w:rPr>
                <w:szCs w:val="23"/>
              </w:rPr>
            </w:pPr>
            <w:r>
              <w:rPr>
                <w:szCs w:val="23"/>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w:t>
            </w:r>
          </w:p>
        </w:tc>
      </w:tr>
      <w:tr w:rsidR="00D607AE" w:rsidRPr="00002F67" w14:paraId="21D6160B" w14:textId="77777777">
        <w:trPr>
          <w:trHeight w:val="1665"/>
        </w:trPr>
        <w:tc>
          <w:tcPr>
            <w:tcW w:w="2314" w:type="dxa"/>
            <w:tcBorders>
              <w:top w:val="nil"/>
              <w:left w:val="nil"/>
              <w:right w:val="nil"/>
            </w:tcBorders>
          </w:tcPr>
          <w:p w14:paraId="496F967E" w14:textId="77777777" w:rsidR="00D607AE" w:rsidRDefault="00002F67">
            <w:pPr>
              <w:spacing w:after="0"/>
              <w:ind w:left="720"/>
              <w:rPr>
                <w:szCs w:val="23"/>
              </w:rPr>
            </w:pPr>
            <w:r>
              <w:rPr>
                <w:szCs w:val="23"/>
              </w:rPr>
              <w:t>"</w:t>
            </w:r>
            <w:r>
              <w:rPr>
                <w:b/>
                <w:szCs w:val="23"/>
              </w:rPr>
              <w:t>LGPS Regulations</w:t>
            </w:r>
            <w:r>
              <w:rPr>
                <w:szCs w:val="23"/>
              </w:rPr>
              <w:t>"</w:t>
            </w:r>
          </w:p>
        </w:tc>
        <w:tc>
          <w:tcPr>
            <w:tcW w:w="6928" w:type="dxa"/>
            <w:tcBorders>
              <w:top w:val="nil"/>
              <w:left w:val="nil"/>
              <w:right w:val="nil"/>
            </w:tcBorders>
          </w:tcPr>
          <w:p w14:paraId="58ED4753" w14:textId="77777777" w:rsidR="00D607AE" w:rsidRDefault="00002F67">
            <w:pPr>
              <w:spacing w:after="0"/>
              <w:rPr>
                <w:szCs w:val="23"/>
              </w:rPr>
            </w:pPr>
            <w:r>
              <w:rPr>
                <w:szCs w:val="23"/>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r w:rsidR="00D607AE" w:rsidRPr="00002F67" w14:paraId="7D8D92C0" w14:textId="77777777">
        <w:trPr>
          <w:trHeight w:val="828"/>
        </w:trPr>
        <w:tc>
          <w:tcPr>
            <w:tcW w:w="2314" w:type="dxa"/>
            <w:tcBorders>
              <w:top w:val="nil"/>
              <w:left w:val="nil"/>
              <w:right w:val="nil"/>
            </w:tcBorders>
            <w:shd w:val="clear" w:color="auto" w:fill="auto"/>
          </w:tcPr>
          <w:p w14:paraId="2D186423" w14:textId="77777777" w:rsidR="00D607AE" w:rsidRDefault="00002F67">
            <w:pPr>
              <w:spacing w:after="0"/>
              <w:ind w:left="720"/>
              <w:rPr>
                <w:b/>
                <w:szCs w:val="23"/>
              </w:rPr>
            </w:pPr>
            <w:r>
              <w:rPr>
                <w:szCs w:val="23"/>
              </w:rPr>
              <w:t>“</w:t>
            </w:r>
            <w:r>
              <w:rPr>
                <w:b/>
                <w:szCs w:val="23"/>
              </w:rPr>
              <w:t>Pension Base Cost”</w:t>
            </w:r>
          </w:p>
        </w:tc>
        <w:tc>
          <w:tcPr>
            <w:tcW w:w="6928" w:type="dxa"/>
            <w:tcBorders>
              <w:top w:val="nil"/>
              <w:left w:val="nil"/>
              <w:right w:val="nil"/>
            </w:tcBorders>
            <w:shd w:val="clear" w:color="auto" w:fill="auto"/>
          </w:tcPr>
          <w:p w14:paraId="1BC658C6" w14:textId="77777777" w:rsidR="00D607AE" w:rsidRDefault="00002F67">
            <w:pPr>
              <w:spacing w:after="0"/>
              <w:rPr>
                <w:szCs w:val="23"/>
              </w:rPr>
            </w:pPr>
            <w:r>
              <w:rPr>
                <w:szCs w:val="23"/>
              </w:rPr>
              <w:t>in relation to the LGPS Eligible Employees, who are at the relevant time members of the LGPS:</w:t>
            </w:r>
          </w:p>
          <w:p w14:paraId="23487767" w14:textId="77777777" w:rsidR="00D607AE" w:rsidRDefault="00002F67">
            <w:pPr>
              <w:spacing w:after="0"/>
              <w:rPr>
                <w:szCs w:val="23"/>
              </w:rPr>
            </w:pPr>
            <w:r>
              <w:rPr>
                <w:szCs w:val="23"/>
              </w:rPr>
              <w:t xml:space="preserve"> </w:t>
            </w:r>
          </w:p>
          <w:p w14:paraId="2E196B3B" w14:textId="77777777" w:rsidR="00D607AE" w:rsidRDefault="00002F67">
            <w:pPr>
              <w:numPr>
                <w:ilvl w:val="0"/>
                <w:numId w:val="30"/>
              </w:numPr>
              <w:spacing w:after="0"/>
              <w:rPr>
                <w:szCs w:val="23"/>
              </w:rPr>
            </w:pPr>
            <w:r>
              <w:rPr>
                <w:szCs w:val="23"/>
              </w:rPr>
              <w:t>[  ]% of pensionable pay for those who are members of [insert name of Fund];</w:t>
            </w:r>
          </w:p>
          <w:p w14:paraId="203394D8" w14:textId="77777777" w:rsidR="00D607AE" w:rsidRDefault="00002F67">
            <w:pPr>
              <w:numPr>
                <w:ilvl w:val="0"/>
                <w:numId w:val="30"/>
              </w:numPr>
              <w:spacing w:after="0"/>
              <w:rPr>
                <w:szCs w:val="23"/>
              </w:rPr>
            </w:pPr>
            <w:r>
              <w:rPr>
                <w:szCs w:val="23"/>
              </w:rPr>
              <w:t>[  ]% of pensionable pay for those who are members of [insert name of Fund]; and</w:t>
            </w:r>
          </w:p>
          <w:p w14:paraId="75E1F736" w14:textId="77777777" w:rsidR="00D607AE" w:rsidRDefault="00002F67">
            <w:pPr>
              <w:numPr>
                <w:ilvl w:val="0"/>
                <w:numId w:val="30"/>
              </w:numPr>
              <w:spacing w:after="0"/>
              <w:rPr>
                <w:szCs w:val="23"/>
              </w:rPr>
            </w:pPr>
            <w:r>
              <w:rPr>
                <w:szCs w:val="23"/>
              </w:rPr>
              <w:t>[  ]% of pensionable pay for those who are members of [insert name of Fund];</w:t>
            </w:r>
          </w:p>
          <w:p w14:paraId="78D5BD29" w14:textId="77777777" w:rsidR="00D607AE" w:rsidRDefault="00D607AE">
            <w:pPr>
              <w:spacing w:after="0"/>
              <w:rPr>
                <w:szCs w:val="23"/>
              </w:rPr>
            </w:pPr>
          </w:p>
          <w:p w14:paraId="3AC6D97D" w14:textId="77777777" w:rsidR="00D607AE" w:rsidRDefault="00002F67">
            <w:pPr>
              <w:spacing w:after="0"/>
              <w:rPr>
                <w:szCs w:val="23"/>
              </w:rPr>
            </w:pPr>
            <w:r>
              <w:rPr>
                <w:szCs w:val="23"/>
              </w:rPr>
              <w:t>("pensionable pay" for these purposes as defined under the LGPS Regulations);</w:t>
            </w:r>
          </w:p>
          <w:p w14:paraId="7992532B" w14:textId="77777777" w:rsidR="00D607AE" w:rsidRDefault="00D607AE">
            <w:pPr>
              <w:spacing w:after="0"/>
              <w:rPr>
                <w:szCs w:val="23"/>
              </w:rPr>
            </w:pPr>
          </w:p>
        </w:tc>
      </w:tr>
      <w:tr w:rsidR="00D607AE" w:rsidRPr="00002F67" w14:paraId="0BD0E029" w14:textId="77777777">
        <w:trPr>
          <w:trHeight w:val="1665"/>
        </w:trPr>
        <w:tc>
          <w:tcPr>
            <w:tcW w:w="2314" w:type="dxa"/>
            <w:tcBorders>
              <w:top w:val="nil"/>
              <w:left w:val="nil"/>
              <w:right w:val="nil"/>
            </w:tcBorders>
            <w:shd w:val="clear" w:color="auto" w:fill="auto"/>
          </w:tcPr>
          <w:p w14:paraId="3B43D2F3" w14:textId="77777777" w:rsidR="00D607AE" w:rsidRDefault="00002F67">
            <w:pPr>
              <w:spacing w:after="0"/>
              <w:ind w:left="720"/>
              <w:rPr>
                <w:szCs w:val="23"/>
              </w:rPr>
            </w:pPr>
            <w:r>
              <w:rPr>
                <w:szCs w:val="23"/>
              </w:rPr>
              <w:t>“</w:t>
            </w:r>
            <w:r>
              <w:rPr>
                <w:b/>
                <w:szCs w:val="23"/>
              </w:rPr>
              <w:t>Pension Costs</w:t>
            </w:r>
            <w:r>
              <w:rPr>
                <w:szCs w:val="23"/>
              </w:rPr>
              <w:t>”</w:t>
            </w:r>
          </w:p>
        </w:tc>
        <w:tc>
          <w:tcPr>
            <w:tcW w:w="6928" w:type="dxa"/>
            <w:tcBorders>
              <w:top w:val="nil"/>
              <w:left w:val="nil"/>
              <w:right w:val="nil"/>
            </w:tcBorders>
            <w:shd w:val="clear" w:color="auto" w:fill="auto"/>
          </w:tcPr>
          <w:p w14:paraId="34009037" w14:textId="77777777" w:rsidR="00D607AE" w:rsidRDefault="00002F67">
            <w:pPr>
              <w:pStyle w:val="BodyTextIndent2"/>
              <w:ind w:left="0"/>
              <w:rPr>
                <w:rFonts w:ascii="Calibri" w:hAnsi="Calibri"/>
                <w:szCs w:val="23"/>
              </w:rPr>
            </w:pPr>
            <w:r>
              <w:rPr>
                <w:rFonts w:ascii="Calibri" w:hAnsi="Calibri"/>
                <w:szCs w:val="23"/>
              </w:rPr>
              <w:t>the costs of complying with the Pension Requirements, but excluding any costs relating to:</w:t>
            </w:r>
          </w:p>
          <w:p w14:paraId="14A962F4" w14:textId="77777777" w:rsidR="00D607AE" w:rsidRDefault="00002F67">
            <w:pPr>
              <w:pStyle w:val="BodyTextIndent2"/>
              <w:ind w:left="720" w:hanging="720"/>
              <w:rPr>
                <w:rFonts w:ascii="Calibri" w:hAnsi="Calibri"/>
                <w:szCs w:val="23"/>
              </w:rPr>
            </w:pPr>
            <w:r>
              <w:rPr>
                <w:rFonts w:ascii="Calibri" w:hAnsi="Calibri"/>
                <w:szCs w:val="23"/>
              </w:rPr>
              <w:t>(a)</w:t>
            </w:r>
            <w:r>
              <w:rPr>
                <w:rFonts w:ascii="Calibri" w:hAnsi="Calibri"/>
                <w:szCs w:val="23"/>
              </w:rPr>
              <w:tab/>
              <w:t>the provision of any bond or indemnity that the Supplier or its Subcontractors are required to provide under the terms of any Admission Agreement; and</w:t>
            </w:r>
          </w:p>
          <w:p w14:paraId="4145DD5E" w14:textId="77777777" w:rsidR="00D607AE" w:rsidRDefault="00002F67">
            <w:pPr>
              <w:pStyle w:val="BodyTextIndent2"/>
              <w:ind w:left="720" w:hanging="720"/>
              <w:rPr>
                <w:rFonts w:ascii="Calibri" w:hAnsi="Calibri"/>
                <w:szCs w:val="23"/>
              </w:rPr>
            </w:pPr>
            <w:r>
              <w:rPr>
                <w:rFonts w:ascii="Calibri" w:hAnsi="Calibri"/>
                <w:szCs w:val="23"/>
              </w:rPr>
              <w:t>(b)</w:t>
            </w:r>
            <w:r>
              <w:rPr>
                <w:rFonts w:ascii="Calibri" w:hAnsi="Calibri"/>
                <w:szCs w:val="23"/>
              </w:rPr>
              <w:tab/>
              <w:t>the provision of advice from the actuary to the LGPS arising from the instruction from the Supplier or its Subcontractors in relation to the Pension Requirements;</w:t>
            </w:r>
          </w:p>
          <w:p w14:paraId="304A37DD" w14:textId="77777777" w:rsidR="00D607AE" w:rsidRDefault="00002F67">
            <w:pPr>
              <w:pStyle w:val="BodyTextIndent2"/>
              <w:ind w:left="0"/>
              <w:rPr>
                <w:rFonts w:ascii="Calibri" w:hAnsi="Calibri"/>
                <w:szCs w:val="23"/>
              </w:rPr>
            </w:pPr>
            <w:r>
              <w:rPr>
                <w:rFonts w:ascii="Calibri" w:hAnsi="Calibri"/>
                <w:szCs w:val="23"/>
              </w:rPr>
              <w:t>which will be covered by the Supplier or Subcontractor, as appropriate; and</w:t>
            </w:r>
          </w:p>
          <w:p w14:paraId="2A4DF586" w14:textId="77777777" w:rsidR="00D607AE" w:rsidRDefault="00D607AE">
            <w:pPr>
              <w:spacing w:after="0"/>
              <w:rPr>
                <w:rFonts w:ascii="Times New Roman" w:hAnsi="Times New Roman"/>
                <w:sz w:val="24"/>
                <w:szCs w:val="23"/>
              </w:rPr>
            </w:pPr>
          </w:p>
        </w:tc>
      </w:tr>
      <w:tr w:rsidR="00D607AE" w:rsidRPr="00002F67" w14:paraId="3FF06515" w14:textId="77777777">
        <w:trPr>
          <w:trHeight w:val="2547"/>
        </w:trPr>
        <w:tc>
          <w:tcPr>
            <w:tcW w:w="2314" w:type="dxa"/>
            <w:tcBorders>
              <w:top w:val="nil"/>
              <w:left w:val="nil"/>
              <w:bottom w:val="nil"/>
              <w:right w:val="nil"/>
            </w:tcBorders>
            <w:shd w:val="clear" w:color="auto" w:fill="auto"/>
          </w:tcPr>
          <w:p w14:paraId="67344D7F" w14:textId="77777777" w:rsidR="00D607AE" w:rsidRDefault="00002F67">
            <w:pPr>
              <w:spacing w:after="0"/>
              <w:ind w:left="720"/>
              <w:rPr>
                <w:szCs w:val="23"/>
              </w:rPr>
            </w:pPr>
            <w:r>
              <w:rPr>
                <w:szCs w:val="23"/>
              </w:rPr>
              <w:t>“</w:t>
            </w:r>
            <w:r>
              <w:rPr>
                <w:b/>
                <w:szCs w:val="23"/>
              </w:rPr>
              <w:t>Pension Requirements</w:t>
            </w:r>
            <w:r>
              <w:rPr>
                <w:szCs w:val="23"/>
              </w:rPr>
              <w:t xml:space="preserve">” </w:t>
            </w:r>
          </w:p>
        </w:tc>
        <w:tc>
          <w:tcPr>
            <w:tcW w:w="6928" w:type="dxa"/>
            <w:tcBorders>
              <w:top w:val="nil"/>
              <w:left w:val="nil"/>
              <w:bottom w:val="nil"/>
              <w:right w:val="nil"/>
            </w:tcBorders>
            <w:shd w:val="clear" w:color="auto" w:fill="auto"/>
          </w:tcPr>
          <w:p w14:paraId="5C8E01B6" w14:textId="77777777" w:rsidR="00D607AE" w:rsidRDefault="00002F67">
            <w:pPr>
              <w:pStyle w:val="BodyTextIndent2"/>
              <w:ind w:left="0"/>
              <w:rPr>
                <w:rFonts w:ascii="Calibri" w:hAnsi="Calibri"/>
                <w:szCs w:val="23"/>
              </w:rPr>
            </w:pPr>
            <w:r>
              <w:rPr>
                <w:rFonts w:ascii="Calibri" w:hAnsi="Calibri"/>
                <w:szCs w:val="23"/>
              </w:rPr>
              <w:t>the terms and conditions set out in:</w:t>
            </w:r>
          </w:p>
          <w:p w14:paraId="4EE497A1" w14:textId="77777777" w:rsidR="00D607AE" w:rsidRDefault="00002F67">
            <w:pPr>
              <w:pStyle w:val="BodyTextIndent2"/>
              <w:ind w:left="720" w:hanging="720"/>
              <w:rPr>
                <w:rFonts w:ascii="Calibri" w:hAnsi="Calibri"/>
                <w:szCs w:val="23"/>
              </w:rPr>
            </w:pPr>
            <w:r>
              <w:rPr>
                <w:rFonts w:ascii="Calibri" w:hAnsi="Calibri"/>
                <w:szCs w:val="23"/>
              </w:rPr>
              <w:t>(a)</w:t>
            </w:r>
            <w:r>
              <w:rPr>
                <w:rFonts w:ascii="Calibri" w:hAnsi="Calibri"/>
                <w:szCs w:val="23"/>
              </w:rPr>
              <w:tab/>
              <w:t>paragraph 2 of this Annex D3  (Supplier to Become an  LGPS Admission  Body), and paragraph 4 of Annex D3 (Discretionary Benefits); and</w:t>
            </w:r>
          </w:p>
          <w:p w14:paraId="3299E6A3" w14:textId="77777777" w:rsidR="00D607AE" w:rsidRDefault="00002F67">
            <w:pPr>
              <w:pStyle w:val="BodyTextIndent2"/>
              <w:ind w:left="720" w:hanging="720"/>
              <w:rPr>
                <w:rFonts w:ascii="Calibri" w:hAnsi="Calibri"/>
                <w:szCs w:val="23"/>
              </w:rPr>
            </w:pPr>
            <w:r>
              <w:rPr>
                <w:rFonts w:ascii="Calibri" w:hAnsi="Calibri"/>
                <w:szCs w:val="23"/>
              </w:rPr>
              <w:t>(b)</w:t>
            </w:r>
            <w:r>
              <w:rPr>
                <w:rFonts w:ascii="Calibri" w:hAnsi="Calibri"/>
                <w:szCs w:val="23"/>
              </w:rPr>
              <w:tab/>
              <w:t>the  LGPS Admission Agreement,</w:t>
            </w:r>
          </w:p>
          <w:p w14:paraId="5531CB50" w14:textId="77777777" w:rsidR="00D607AE" w:rsidRDefault="00002F67">
            <w:pPr>
              <w:pStyle w:val="BodyTextIndent2"/>
              <w:spacing w:after="0"/>
              <w:ind w:left="720" w:hanging="720"/>
              <w:rPr>
                <w:rFonts w:ascii="Calibri" w:hAnsi="Calibri"/>
                <w:szCs w:val="23"/>
              </w:rPr>
            </w:pPr>
            <w:proofErr w:type="gramStart"/>
            <w:r>
              <w:rPr>
                <w:rFonts w:ascii="Calibri" w:hAnsi="Calibri"/>
                <w:szCs w:val="23"/>
              </w:rPr>
              <w:t>but</w:t>
            </w:r>
            <w:proofErr w:type="gramEnd"/>
            <w:r>
              <w:rPr>
                <w:rFonts w:ascii="Calibri" w:hAnsi="Calibri"/>
                <w:szCs w:val="23"/>
              </w:rPr>
              <w:t xml:space="preserve"> in each case in respect of LGPS Eligible Employees only.</w:t>
            </w:r>
          </w:p>
          <w:p w14:paraId="72519C91" w14:textId="77777777" w:rsidR="00D607AE" w:rsidRDefault="00D607AE">
            <w:pPr>
              <w:spacing w:after="0"/>
              <w:rPr>
                <w:rFonts w:ascii="Times New Roman" w:hAnsi="Times New Roman"/>
                <w:sz w:val="24"/>
                <w:szCs w:val="23"/>
              </w:rPr>
            </w:pPr>
          </w:p>
        </w:tc>
      </w:tr>
    </w:tbl>
    <w:p w14:paraId="04629A98" w14:textId="77777777" w:rsidR="00D607AE" w:rsidRDefault="00002F67">
      <w:pPr>
        <w:pStyle w:val="ScheduleL1"/>
        <w:rPr>
          <w:szCs w:val="23"/>
        </w:rPr>
      </w:pPr>
      <w:r>
        <w:rPr>
          <w:szCs w:val="23"/>
        </w:rPr>
        <w:lastRenderedPageBreak/>
        <w:t>SUPPLIER TO BECOME AN LGPS ADMISSION BODY</w:t>
      </w:r>
    </w:p>
    <w:p w14:paraId="55D16307" w14:textId="77777777" w:rsidR="00D607AE" w:rsidRDefault="00002F67">
      <w:pPr>
        <w:pStyle w:val="ScheduleL2"/>
        <w:rPr>
          <w:szCs w:val="23"/>
        </w:rPr>
      </w:pPr>
      <w:bookmarkStart w:id="178" w:name="_Ref321865016"/>
      <w:r>
        <w:rPr>
          <w:szCs w:val="23"/>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5CD0EB04" w14:textId="77777777" w:rsidR="00D607AE" w:rsidRDefault="00002F67">
      <w:pPr>
        <w:pStyle w:val="ScheduleL2"/>
        <w:rPr>
          <w:szCs w:val="23"/>
        </w:rPr>
      </w:pPr>
      <w:r>
        <w:rPr>
          <w:szCs w:val="23"/>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14:paraId="55D4F2BC" w14:textId="77777777" w:rsidR="00D607AE" w:rsidRDefault="00002F67">
      <w:pPr>
        <w:pStyle w:val="ScheduleL2"/>
        <w:rPr>
          <w:szCs w:val="23"/>
        </w:rPr>
      </w:pPr>
      <w:r>
        <w:rPr>
          <w:szCs w:val="23"/>
        </w:rPr>
        <w:t xml:space="preserve">The Supplier shall provide any indemnity, bond or guarantee required by an Administering Authority in relation to an LGPS Admission Agreement. </w:t>
      </w:r>
    </w:p>
    <w:p w14:paraId="657100EB" w14:textId="77777777" w:rsidR="00D607AE" w:rsidRDefault="00002F67">
      <w:pPr>
        <w:pStyle w:val="ScheduleL2"/>
        <w:rPr>
          <w:szCs w:val="23"/>
        </w:rPr>
      </w:pPr>
      <w:r>
        <w:rPr>
          <w:szCs w:val="23"/>
        </w:rPr>
        <w:t>The Supplier shall not automatically enroll or re-enroll for the purposes of the Pensions Act 2008 any LGPS Eligible Employees in any pension scheme other than the LGPS.</w:t>
      </w:r>
    </w:p>
    <w:p w14:paraId="3B3D236B" w14:textId="77777777" w:rsidR="00D607AE" w:rsidRDefault="00002F67">
      <w:pPr>
        <w:pStyle w:val="ScheduleL1"/>
        <w:rPr>
          <w:szCs w:val="23"/>
        </w:rPr>
      </w:pPr>
      <w:r>
        <w:rPr>
          <w:szCs w:val="23"/>
        </w:rPr>
        <w:t>RIGHT OF SET-OFF</w:t>
      </w:r>
      <w:bookmarkEnd w:id="178"/>
    </w:p>
    <w:p w14:paraId="338496DD" w14:textId="77777777" w:rsidR="00D607AE" w:rsidRDefault="00002F67">
      <w:pPr>
        <w:ind w:left="357"/>
        <w:outlineLvl w:val="1"/>
        <w:rPr>
          <w:rFonts w:eastAsia="STZhongsong"/>
          <w:szCs w:val="23"/>
        </w:rPr>
      </w:pPr>
      <w:bookmarkStart w:id="179" w:name="_Ref321833585"/>
      <w:r>
        <w:rPr>
          <w:rFonts w:eastAsia="STZhongsong"/>
          <w:szCs w:val="23"/>
        </w:rPr>
        <w:t>The Buyer</w:t>
      </w:r>
      <w:r>
        <w:rPr>
          <w:rFonts w:eastAsia="STZhongsong"/>
          <w:i/>
          <w:szCs w:val="23"/>
        </w:rPr>
        <w:t xml:space="preserve"> </w:t>
      </w:r>
      <w:r>
        <w:rPr>
          <w:rFonts w:eastAsia="STZhongsong"/>
          <w:szCs w:val="23"/>
        </w:rPr>
        <w:t>shall have a right to set off against any payments due to the Supplier under the Contract an amount equal to any overdue employer and employee contributions and other payments (and interest payable under the LGPS Regulations) due from the Supplier (or from any relevant Subcontractor) under an LGPS Admission Agreement and shall pay such amount to the relevant Fund.</w:t>
      </w:r>
      <w:bookmarkEnd w:id="179"/>
    </w:p>
    <w:p w14:paraId="009C71B5" w14:textId="77777777" w:rsidR="00D607AE" w:rsidRDefault="00002F67">
      <w:pPr>
        <w:pStyle w:val="ScheduleL1"/>
        <w:rPr>
          <w:szCs w:val="23"/>
        </w:rPr>
      </w:pPr>
      <w:bookmarkStart w:id="180" w:name="_Ref321865017"/>
      <w:r>
        <w:rPr>
          <w:szCs w:val="23"/>
        </w:rPr>
        <w:t>SUPPLIER CEASES TO BE AN LGPS ADMISSION BODY</w:t>
      </w:r>
      <w:bookmarkEnd w:id="180"/>
    </w:p>
    <w:p w14:paraId="0CC2E2EE" w14:textId="77777777" w:rsidR="00D607AE" w:rsidRDefault="00002F67">
      <w:pPr>
        <w:ind w:left="357"/>
        <w:outlineLvl w:val="1"/>
        <w:rPr>
          <w:rFonts w:eastAsia="STZhongsong"/>
          <w:szCs w:val="23"/>
        </w:rPr>
      </w:pPr>
      <w:bookmarkStart w:id="181" w:name="_Ref321833586"/>
      <w:r>
        <w:rPr>
          <w:rFonts w:eastAsia="STZhongsong"/>
          <w:szCs w:val="23"/>
        </w:rPr>
        <w:t xml:space="preserve">If the Supplier employs any LGPS Eligible Employees from a Relevant Transfer Date and the Supplier either cannot or does not participate in the LGPS, </w:t>
      </w:r>
      <w:bookmarkStart w:id="182" w:name="_Ref321833609"/>
      <w:bookmarkStart w:id="183" w:name="_Ref321833587"/>
      <w:bookmarkEnd w:id="181"/>
      <w:r>
        <w:rPr>
          <w:rFonts w:eastAsia="STZhongsong"/>
          <w:szCs w:val="23"/>
        </w:rPr>
        <w:t xml:space="preserve">the Supplier shall offer such LGPS Eligible Employee membership of a pension scheme Broadly Comparable to the LGPS. </w:t>
      </w:r>
      <w:bookmarkEnd w:id="182"/>
    </w:p>
    <w:p w14:paraId="2B888474" w14:textId="77777777" w:rsidR="00D607AE" w:rsidRDefault="00002F67">
      <w:pPr>
        <w:pStyle w:val="ScheduleL1"/>
        <w:rPr>
          <w:szCs w:val="23"/>
        </w:rPr>
      </w:pPr>
      <w:bookmarkStart w:id="184" w:name="_Ref321833610"/>
      <w:bookmarkEnd w:id="183"/>
      <w:r>
        <w:rPr>
          <w:szCs w:val="23"/>
        </w:rPr>
        <w:t>DISCRETIONARY BENEFITS</w:t>
      </w:r>
      <w:bookmarkEnd w:id="184"/>
    </w:p>
    <w:p w14:paraId="2F4E19C4" w14:textId="77777777" w:rsidR="00D607AE" w:rsidRDefault="00002F67">
      <w:pPr>
        <w:ind w:left="357"/>
        <w:outlineLvl w:val="1"/>
        <w:rPr>
          <w:rFonts w:eastAsia="STZhongsong"/>
          <w:szCs w:val="23"/>
        </w:rPr>
      </w:pPr>
      <w:bookmarkStart w:id="185" w:name="_Ref321865022"/>
      <w:r>
        <w:rPr>
          <w:rFonts w:eastAsia="STZhongsong"/>
          <w:szCs w:val="23"/>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86" w:name="_Ref321833611"/>
      <w:bookmarkEnd w:id="185"/>
      <w:r>
        <w:rPr>
          <w:rFonts w:eastAsia="STZhongsong"/>
          <w:szCs w:val="23"/>
        </w:rPr>
        <w:t xml:space="preserve">Where such benefits are of a discretionary nature, they shall be awarded on the basis of the previous employer’s written policy in relation to such benefits at the time of the Relevant Transfer Date. </w:t>
      </w:r>
      <w:bookmarkEnd w:id="186"/>
    </w:p>
    <w:p w14:paraId="623F3833" w14:textId="77777777" w:rsidR="00D607AE" w:rsidRDefault="00002F67">
      <w:pPr>
        <w:pStyle w:val="ScheduleL1"/>
        <w:numPr>
          <w:ilvl w:val="0"/>
          <w:numId w:val="31"/>
        </w:numPr>
        <w:tabs>
          <w:tab w:val="clear" w:pos="720"/>
        </w:tabs>
        <w:ind w:left="357" w:hanging="357"/>
        <w:rPr>
          <w:rFonts w:cs="Arial"/>
          <w:caps w:val="0"/>
          <w:szCs w:val="23"/>
        </w:rPr>
      </w:pPr>
      <w:r>
        <w:rPr>
          <w:rFonts w:ascii="Times New Roman" w:hAnsi="Times New Roman"/>
          <w:szCs w:val="23"/>
        </w:rPr>
        <w:t xml:space="preserve"> </w:t>
      </w:r>
      <w:r>
        <w:rPr>
          <w:szCs w:val="23"/>
        </w:rPr>
        <w:t>FUNDING</w:t>
      </w:r>
    </w:p>
    <w:p w14:paraId="2E5BE35E" w14:textId="77777777" w:rsidR="00D607AE" w:rsidRDefault="00D607AE">
      <w:pPr>
        <w:ind w:hanging="57"/>
        <w:outlineLvl w:val="1"/>
        <w:rPr>
          <w:rFonts w:ascii="Times New Roman" w:eastAsia="STZhongsong" w:hAnsi="Times New Roman" w:cs="Times New Roman"/>
          <w:b/>
          <w:caps/>
          <w:szCs w:val="23"/>
        </w:rPr>
      </w:pPr>
    </w:p>
    <w:p w14:paraId="162E5F6C" w14:textId="77777777" w:rsidR="00D607AE" w:rsidRDefault="00002F67">
      <w:pPr>
        <w:pStyle w:val="ScheduleL2"/>
        <w:numPr>
          <w:ilvl w:val="1"/>
          <w:numId w:val="31"/>
        </w:numPr>
        <w:tabs>
          <w:tab w:val="clear" w:pos="720"/>
        </w:tabs>
        <w:ind w:left="992" w:hanging="635"/>
        <w:rPr>
          <w:rFonts w:cs="Arial"/>
          <w:szCs w:val="22"/>
        </w:rPr>
      </w:pPr>
      <w:r>
        <w:rPr>
          <w:szCs w:val="23"/>
        </w:rPr>
        <w:t xml:space="preserve">The </w:t>
      </w:r>
      <w:r>
        <w:rPr>
          <w:szCs w:val="22"/>
        </w:rPr>
        <w:t xml:space="preserve">Buyer hereby undertakes </w:t>
      </w:r>
      <w:proofErr w:type="gramStart"/>
      <w:r>
        <w:rPr>
          <w:szCs w:val="22"/>
        </w:rPr>
        <w:t>that  it</w:t>
      </w:r>
      <w:proofErr w:type="gramEnd"/>
      <w:r>
        <w:rPr>
          <w:szCs w:val="22"/>
        </w:rPr>
        <w:t xml:space="preserve"> shall procure that</w:t>
      </w:r>
      <w:bookmarkStart w:id="187" w:name="m_-8489134049374141372__Ref508053797"/>
      <w:bookmarkEnd w:id="187"/>
      <w:r>
        <w:rPr>
          <w:rFonts w:ascii="Times New Roman" w:hAnsi="Times New Roman"/>
          <w:szCs w:val="22"/>
        </w:rPr>
        <w:t xml:space="preserve"> </w:t>
      </w:r>
      <w:r>
        <w:rPr>
          <w:szCs w:val="22"/>
        </w:rPr>
        <w:t xml:space="preserve">the funding of the accrued rights of </w:t>
      </w:r>
      <w:r>
        <w:rPr>
          <w:rFonts w:cs="Arial"/>
          <w:szCs w:val="22"/>
        </w:rPr>
        <w:t xml:space="preserve">LGPS Eligible </w:t>
      </w:r>
      <w:r>
        <w:rPr>
          <w:szCs w:val="22"/>
        </w:rPr>
        <w:t>Employees in the LGPS in respect of pensionable service up to the first Relevant Transfer Date under the Contract shall be calculated on the basis that the LGPS had assets equal to its liabilities, as at that Relevant Transfer Date, based on the LGPS’ ongoing actuarial valuation basis</w:t>
      </w:r>
      <w:r>
        <w:rPr>
          <w:rFonts w:cs="Arial"/>
          <w:szCs w:val="22"/>
        </w:rPr>
        <w:t>.</w:t>
      </w:r>
    </w:p>
    <w:p w14:paraId="0C0F76A6" w14:textId="77777777" w:rsidR="00D607AE" w:rsidRDefault="00002F67">
      <w:pPr>
        <w:pStyle w:val="ScheduleL2"/>
        <w:numPr>
          <w:ilvl w:val="1"/>
          <w:numId w:val="31"/>
        </w:numPr>
        <w:tabs>
          <w:tab w:val="clear" w:pos="720"/>
        </w:tabs>
        <w:ind w:left="992" w:hanging="635"/>
        <w:rPr>
          <w:szCs w:val="22"/>
        </w:rPr>
      </w:pPr>
      <w:bookmarkStart w:id="188" w:name="_Ref508882040"/>
      <w:r>
        <w:rPr>
          <w:szCs w:val="22"/>
        </w:rPr>
        <w:lastRenderedPageBreak/>
        <w:t xml:space="preserve">Subject to paragraph 6.3 of this Annex D3, any </w:t>
      </w:r>
      <w:r>
        <w:rPr>
          <w:b/>
          <w:szCs w:val="22"/>
        </w:rPr>
        <w:t xml:space="preserve">Excess Amount </w:t>
      </w:r>
      <w:r>
        <w:rPr>
          <w:szCs w:val="22"/>
        </w:rPr>
        <w:t xml:space="preserve">shall be the sole responsibility of the Buyer and shall be dealt with as set out in paragraphs 6.4 to </w:t>
      </w:r>
      <w:proofErr w:type="gramStart"/>
      <w:r>
        <w:rPr>
          <w:szCs w:val="22"/>
        </w:rPr>
        <w:t>6.7  of</w:t>
      </w:r>
      <w:proofErr w:type="gramEnd"/>
      <w:r>
        <w:rPr>
          <w:szCs w:val="22"/>
        </w:rPr>
        <w:t xml:space="preserve"> this Annex D3.</w:t>
      </w:r>
      <w:bookmarkEnd w:id="188"/>
    </w:p>
    <w:p w14:paraId="48476B90" w14:textId="77777777" w:rsidR="00D607AE" w:rsidRDefault="00002F67">
      <w:pPr>
        <w:pStyle w:val="ScheduleL2"/>
        <w:numPr>
          <w:ilvl w:val="1"/>
          <w:numId w:val="31"/>
        </w:numPr>
        <w:tabs>
          <w:tab w:val="clear" w:pos="720"/>
        </w:tabs>
        <w:ind w:left="992" w:hanging="635"/>
        <w:rPr>
          <w:szCs w:val="22"/>
        </w:rPr>
      </w:pPr>
      <w:bookmarkStart w:id="189" w:name="_Ref508882028"/>
      <w:r>
        <w:rPr>
          <w:szCs w:val="22"/>
        </w:rPr>
        <w:t>Nothing in paragraph 6.2 of this Annex D3 shall require the Buyer to be responsible for any Excess Amount to the extent that such Excess Amount has arisen as a result of:</w:t>
      </w:r>
      <w:bookmarkEnd w:id="189"/>
    </w:p>
    <w:p w14:paraId="76F6420F" w14:textId="77777777" w:rsidR="00D607AE" w:rsidRDefault="00002F67">
      <w:pPr>
        <w:pStyle w:val="ScheduleL3"/>
        <w:numPr>
          <w:ilvl w:val="2"/>
          <w:numId w:val="31"/>
        </w:numPr>
        <w:ind w:hanging="807"/>
        <w:rPr>
          <w:szCs w:val="22"/>
        </w:rPr>
      </w:pPr>
      <w:r>
        <w:rPr>
          <w:szCs w:val="22"/>
        </w:rPr>
        <w:t>a decision or exercise of discretion by the Supplier or any Subcontractor which:</w:t>
      </w:r>
    </w:p>
    <w:p w14:paraId="605135FA" w14:textId="77777777" w:rsidR="00D607AE" w:rsidRDefault="00002F67">
      <w:pPr>
        <w:pStyle w:val="ScheduleL4"/>
        <w:numPr>
          <w:ilvl w:val="3"/>
          <w:numId w:val="31"/>
        </w:numPr>
        <w:rPr>
          <w:szCs w:val="22"/>
        </w:rPr>
      </w:pPr>
      <w:r>
        <w:rPr>
          <w:szCs w:val="22"/>
        </w:rPr>
        <w:t>increases the pensionable pay of LGPS Eligible Employees above the greater of:</w:t>
      </w:r>
    </w:p>
    <w:p w14:paraId="2690B3D4" w14:textId="77777777" w:rsidR="00D607AE" w:rsidRDefault="00002F67">
      <w:pPr>
        <w:pStyle w:val="ScheduleL5"/>
        <w:numPr>
          <w:ilvl w:val="4"/>
          <w:numId w:val="31"/>
        </w:numPr>
        <w:rPr>
          <w:rFonts w:ascii="Calibri" w:hAnsi="Calibri"/>
          <w:szCs w:val="22"/>
        </w:rPr>
      </w:pPr>
      <w:r>
        <w:rPr>
          <w:rFonts w:ascii="Calibri" w:hAnsi="Calibri"/>
          <w:szCs w:val="22"/>
        </w:rPr>
        <w:t>the increases assumed in the relevant actuarial valuations of the LGPS; and</w:t>
      </w:r>
    </w:p>
    <w:p w14:paraId="184F9719" w14:textId="77777777" w:rsidR="00D607AE" w:rsidRDefault="00002F67">
      <w:pPr>
        <w:pStyle w:val="ScheduleL5"/>
        <w:numPr>
          <w:ilvl w:val="4"/>
          <w:numId w:val="31"/>
        </w:numPr>
        <w:rPr>
          <w:rFonts w:ascii="Calibri" w:hAnsi="Calibri"/>
          <w:szCs w:val="22"/>
        </w:rPr>
      </w:pPr>
      <w:r>
        <w:rPr>
          <w:rFonts w:ascii="Calibri" w:hAnsi="Calibri"/>
          <w:szCs w:val="22"/>
        </w:rPr>
        <w:t>the increases the Supplier and/or any Subcontractor are contractually bound to provide on the Relevant Transfer Date;</w:t>
      </w:r>
    </w:p>
    <w:p w14:paraId="40644DB5" w14:textId="77777777" w:rsidR="00D607AE" w:rsidRDefault="00002F67">
      <w:pPr>
        <w:pStyle w:val="ScheduleL4"/>
        <w:numPr>
          <w:ilvl w:val="3"/>
          <w:numId w:val="31"/>
        </w:numPr>
        <w:rPr>
          <w:szCs w:val="22"/>
        </w:rPr>
      </w:pPr>
      <w:r>
        <w:rPr>
          <w:szCs w:val="22"/>
        </w:rPr>
        <w:t>otherwise increases the benefits payable to a LGPS Eligible Employee and in particular:</w:t>
      </w:r>
    </w:p>
    <w:p w14:paraId="6305F85C" w14:textId="77777777" w:rsidR="00D607AE" w:rsidRDefault="00002F67">
      <w:pPr>
        <w:pStyle w:val="ScheduleL5"/>
        <w:numPr>
          <w:ilvl w:val="4"/>
          <w:numId w:val="31"/>
        </w:numPr>
        <w:rPr>
          <w:rFonts w:ascii="Calibri" w:hAnsi="Calibri"/>
          <w:szCs w:val="22"/>
        </w:rPr>
      </w:pPr>
      <w:r>
        <w:rPr>
          <w:rFonts w:ascii="Calibri" w:hAnsi="Calibri"/>
          <w:szCs w:val="22"/>
        </w:rPr>
        <w:t>the immediate payment of benefits with:</w:t>
      </w:r>
    </w:p>
    <w:p w14:paraId="7715D8EE" w14:textId="77777777" w:rsidR="00D607AE" w:rsidRDefault="00002F67">
      <w:pPr>
        <w:pStyle w:val="ScheduleL6"/>
        <w:numPr>
          <w:ilvl w:val="5"/>
          <w:numId w:val="31"/>
        </w:numPr>
        <w:rPr>
          <w:rFonts w:ascii="Calibri" w:hAnsi="Calibri"/>
          <w:szCs w:val="22"/>
        </w:rPr>
      </w:pPr>
      <w:r>
        <w:rPr>
          <w:rFonts w:ascii="Calibri" w:hAnsi="Calibri"/>
          <w:szCs w:val="22"/>
        </w:rPr>
        <w:t>the Supplier's or Subcontractors' consent under Regulation 30 of the LGPS Regulations, including waiving any reduction of benefits under Regulation 30(8) of the LGPS Regulations or otherwise; or</w:t>
      </w:r>
    </w:p>
    <w:p w14:paraId="1C3017CD" w14:textId="77777777" w:rsidR="00D607AE" w:rsidRDefault="00002F67">
      <w:pPr>
        <w:pStyle w:val="ScheduleL6"/>
        <w:numPr>
          <w:ilvl w:val="5"/>
          <w:numId w:val="31"/>
        </w:numPr>
        <w:rPr>
          <w:rFonts w:ascii="Calibri" w:hAnsi="Calibri"/>
          <w:szCs w:val="22"/>
        </w:rPr>
      </w:pPr>
      <w:r>
        <w:rPr>
          <w:rFonts w:ascii="Calibri" w:hAnsi="Calibri"/>
          <w:szCs w:val="22"/>
        </w:rPr>
        <w:t>the Supplier or Subcontractors waiving any reduction of benefits on compassionate grounds under Schedule 2 of  The Local Government Pension Scheme (Transitional Provisions, Savings and Amendment) Regulations 2014); and/or</w:t>
      </w:r>
    </w:p>
    <w:p w14:paraId="7C0DD854" w14:textId="77777777" w:rsidR="00D607AE" w:rsidRDefault="00002F67">
      <w:pPr>
        <w:pStyle w:val="ScheduleL5"/>
        <w:numPr>
          <w:ilvl w:val="4"/>
          <w:numId w:val="31"/>
        </w:numPr>
        <w:rPr>
          <w:rFonts w:ascii="Calibri" w:hAnsi="Calibri"/>
          <w:szCs w:val="22"/>
        </w:rPr>
      </w:pPr>
      <w:r>
        <w:rPr>
          <w:rFonts w:ascii="Calibri" w:hAnsi="Calibri"/>
          <w:szCs w:val="22"/>
        </w:rPr>
        <w:t>an award to additional pension under Regulation 31 of the LGPS Regulations;</w:t>
      </w:r>
    </w:p>
    <w:p w14:paraId="3A310BF2" w14:textId="77777777" w:rsidR="00D607AE" w:rsidRDefault="00002F67">
      <w:pPr>
        <w:pStyle w:val="ScheduleL3"/>
        <w:numPr>
          <w:ilvl w:val="2"/>
          <w:numId w:val="31"/>
        </w:numPr>
        <w:ind w:hanging="807"/>
        <w:rPr>
          <w:szCs w:val="22"/>
        </w:rPr>
      </w:pPr>
      <w:r>
        <w:rPr>
          <w:szCs w:val="22"/>
        </w:rPr>
        <w:t>the early retirement of LGPS Eligible Employees due to dismissal or termination of employment under Regulation 30(7) of the LGPS Regulations;</w:t>
      </w:r>
    </w:p>
    <w:p w14:paraId="06A41F74" w14:textId="77777777" w:rsidR="00D607AE" w:rsidRDefault="00002F67">
      <w:pPr>
        <w:pStyle w:val="ScheduleL3"/>
        <w:numPr>
          <w:ilvl w:val="2"/>
          <w:numId w:val="31"/>
        </w:numPr>
        <w:ind w:hanging="807"/>
        <w:rPr>
          <w:rFonts w:ascii="Times New Roman" w:hAnsi="Times New Roman"/>
          <w:szCs w:val="22"/>
        </w:rPr>
      </w:pPr>
      <w:r>
        <w:rPr>
          <w:szCs w:val="22"/>
        </w:rPr>
        <w:t>the early retirement of LGPS Eligible Employees under the provisions of regulations 35 to 39 of the LGPS Regulations;</w:t>
      </w:r>
    </w:p>
    <w:p w14:paraId="61576521" w14:textId="77777777" w:rsidR="00D607AE" w:rsidRDefault="00002F67">
      <w:pPr>
        <w:pStyle w:val="ScheduleL3"/>
        <w:numPr>
          <w:ilvl w:val="2"/>
          <w:numId w:val="31"/>
        </w:numPr>
        <w:ind w:hanging="807"/>
        <w:rPr>
          <w:szCs w:val="22"/>
        </w:rPr>
      </w:pPr>
      <w:r>
        <w:rPr>
          <w:szCs w:val="22"/>
        </w:rPr>
        <w:t>any contribution required by the Administering Authority towards the cost of the administration of the Fund relating to the Supplier that are not met through the Supplier's or Subcontractors' payments under the applicable rates and adjustment certificate under regulation 62 of the LGPS Regulations, including without limitation an amount specified in a notice given by the Administering Authority under Regulation 70 of the LGPS Regulations and the costs of any reports and advice requested by the Supplier from an actuary appointed by the Administering Authority; and/or</w:t>
      </w:r>
    </w:p>
    <w:p w14:paraId="70CF8178" w14:textId="77777777" w:rsidR="00D607AE" w:rsidRDefault="00002F67">
      <w:pPr>
        <w:pStyle w:val="ScheduleL3"/>
        <w:numPr>
          <w:ilvl w:val="2"/>
          <w:numId w:val="31"/>
        </w:numPr>
        <w:ind w:hanging="807"/>
        <w:rPr>
          <w:rFonts w:ascii="Times New Roman" w:hAnsi="Times New Roman"/>
          <w:szCs w:val="22"/>
        </w:rPr>
      </w:pPr>
      <w:proofErr w:type="gramStart"/>
      <w:r>
        <w:rPr>
          <w:szCs w:val="22"/>
        </w:rPr>
        <w:t>any</w:t>
      </w:r>
      <w:proofErr w:type="gramEnd"/>
      <w:r>
        <w:rPr>
          <w:szCs w:val="22"/>
        </w:rPr>
        <w:t xml:space="preserve"> interest payable under the LGPS Regulations or LGPS Administration Agreement.</w:t>
      </w:r>
    </w:p>
    <w:p w14:paraId="63A6DAAB" w14:textId="77777777" w:rsidR="00D607AE" w:rsidRDefault="00002F67">
      <w:pPr>
        <w:pStyle w:val="ScheduleL2"/>
        <w:numPr>
          <w:ilvl w:val="1"/>
          <w:numId w:val="31"/>
        </w:numPr>
        <w:tabs>
          <w:tab w:val="clear" w:pos="720"/>
        </w:tabs>
        <w:ind w:left="992" w:hanging="635"/>
        <w:rPr>
          <w:szCs w:val="22"/>
        </w:rPr>
      </w:pPr>
      <w:bookmarkStart w:id="190" w:name="_Ref508881784"/>
      <w:proofErr w:type="gramStart"/>
      <w:r>
        <w:rPr>
          <w:szCs w:val="22"/>
        </w:rPr>
        <w:lastRenderedPageBreak/>
        <w:t>Within  20</w:t>
      </w:r>
      <w:proofErr w:type="gramEnd"/>
      <w:r>
        <w:rPr>
          <w:szCs w:val="22"/>
        </w:rPr>
        <w:t xml:space="preserve"> Working Days of the end of each Contract Year the Supplier shall notify the Buyer in writing of any Excess Amount in the immediately preceding Contract Year together with a reasonable summary of how the Supplier has arrived at its calculation of such amount.</w:t>
      </w:r>
      <w:bookmarkEnd w:id="190"/>
    </w:p>
    <w:p w14:paraId="131FB88D" w14:textId="77777777" w:rsidR="00D607AE" w:rsidRDefault="00002F67">
      <w:pPr>
        <w:pStyle w:val="ScheduleL2"/>
        <w:numPr>
          <w:ilvl w:val="1"/>
          <w:numId w:val="31"/>
        </w:numPr>
        <w:tabs>
          <w:tab w:val="clear" w:pos="720"/>
        </w:tabs>
        <w:ind w:left="992" w:hanging="635"/>
        <w:rPr>
          <w:szCs w:val="22"/>
        </w:rPr>
      </w:pPr>
      <w:r>
        <w:rPr>
          <w:szCs w:val="22"/>
        </w:rPr>
        <w:t>On receipt of the Supplier's calculation in accordance with paragraph 6.4 above the Buyer shall either:</w:t>
      </w:r>
    </w:p>
    <w:p w14:paraId="42F7B850" w14:textId="77777777" w:rsidR="00D607AE" w:rsidRDefault="00002F67">
      <w:pPr>
        <w:pStyle w:val="ScheduleL3"/>
        <w:numPr>
          <w:ilvl w:val="2"/>
          <w:numId w:val="31"/>
        </w:numPr>
        <w:ind w:hanging="807"/>
        <w:rPr>
          <w:szCs w:val="22"/>
        </w:rPr>
      </w:pPr>
      <w:r>
        <w:rPr>
          <w:szCs w:val="22"/>
        </w:rPr>
        <w:t>notify the Supplier in writing of acceptance of the Excess Amount;</w:t>
      </w:r>
    </w:p>
    <w:p w14:paraId="3466ACA8" w14:textId="77777777" w:rsidR="00D607AE" w:rsidRDefault="00002F67">
      <w:pPr>
        <w:pStyle w:val="ScheduleL3"/>
        <w:numPr>
          <w:ilvl w:val="2"/>
          <w:numId w:val="31"/>
        </w:numPr>
        <w:ind w:hanging="807"/>
        <w:rPr>
          <w:szCs w:val="22"/>
        </w:rPr>
      </w:pPr>
      <w:r>
        <w:rPr>
          <w:szCs w:val="22"/>
        </w:rPr>
        <w:t>request further information/evidence; and/or</w:t>
      </w:r>
    </w:p>
    <w:p w14:paraId="61FA6978" w14:textId="77777777" w:rsidR="00D607AE" w:rsidRDefault="00002F67">
      <w:pPr>
        <w:pStyle w:val="ScheduleL3"/>
        <w:numPr>
          <w:ilvl w:val="2"/>
          <w:numId w:val="31"/>
        </w:numPr>
        <w:ind w:hanging="807"/>
        <w:rPr>
          <w:szCs w:val="22"/>
        </w:rPr>
      </w:pPr>
      <w:proofErr w:type="gramStart"/>
      <w:r>
        <w:rPr>
          <w:szCs w:val="22"/>
        </w:rPr>
        <w:t>request</w:t>
      </w:r>
      <w:proofErr w:type="gramEnd"/>
      <w:r>
        <w:rPr>
          <w:szCs w:val="22"/>
        </w:rPr>
        <w:t xml:space="preserve"> a meeting to discuss/clarify the evidence provided.</w:t>
      </w:r>
    </w:p>
    <w:p w14:paraId="5EAD0286" w14:textId="77777777" w:rsidR="00D607AE" w:rsidRDefault="00002F67">
      <w:pPr>
        <w:pStyle w:val="ScheduleL2"/>
        <w:numPr>
          <w:ilvl w:val="1"/>
          <w:numId w:val="31"/>
        </w:numPr>
        <w:tabs>
          <w:tab w:val="clear" w:pos="720"/>
        </w:tabs>
        <w:ind w:left="992" w:hanging="635"/>
        <w:rPr>
          <w:szCs w:val="22"/>
        </w:rPr>
      </w:pPr>
      <w:r>
        <w:rPr>
          <w:szCs w:val="22"/>
        </w:rPr>
        <w:t xml:space="preserve">Where the pension adjustment notified paragraph 6.4 above is agreed following the receipt of further information/evidence or following a meeting, the Buyer shall notify the Supplier in writing.  In the event that the Supplier and the Buyer are unable to agree the pension adjustment, they shall follow the Dispute Resolution Procedure. </w:t>
      </w:r>
    </w:p>
    <w:p w14:paraId="2E46B808" w14:textId="77777777" w:rsidR="00D607AE" w:rsidRDefault="00002F67">
      <w:pPr>
        <w:pStyle w:val="ScheduleL2"/>
        <w:numPr>
          <w:ilvl w:val="1"/>
          <w:numId w:val="31"/>
        </w:numPr>
        <w:tabs>
          <w:tab w:val="clear" w:pos="720"/>
        </w:tabs>
        <w:ind w:left="992" w:hanging="635"/>
        <w:rPr>
          <w:rFonts w:ascii="Times New Roman" w:hAnsi="Times New Roman"/>
          <w:szCs w:val="22"/>
        </w:rPr>
      </w:pPr>
      <w:bookmarkStart w:id="191" w:name="_Ref508881807"/>
      <w:r>
        <w:rPr>
          <w:szCs w:val="22"/>
        </w:rPr>
        <w:t>Any Excess Amount agreed by the Buyer shall be paid within timescales as agreed between Buyer and Supplier. In respect of any Excess Amount the amount to be paid by the Buyer shall be an amount equal to the Excess Amount (less an amount equal to any corporation tax relief which has been claimed in respect of the Excess Amount by the Supplier or its Subcontractors).</w:t>
      </w:r>
      <w:bookmarkEnd w:id="191"/>
    </w:p>
    <w:p w14:paraId="6A0ECD37" w14:textId="77777777" w:rsidR="00D607AE" w:rsidRDefault="00002F67">
      <w:pPr>
        <w:pStyle w:val="ScheduleL2"/>
        <w:numPr>
          <w:ilvl w:val="1"/>
          <w:numId w:val="31"/>
        </w:numPr>
        <w:tabs>
          <w:tab w:val="clear" w:pos="720"/>
        </w:tabs>
        <w:ind w:left="992" w:hanging="635"/>
        <w:rPr>
          <w:rFonts w:ascii="Times New Roman" w:hAnsi="Times New Roman"/>
          <w:szCs w:val="22"/>
        </w:rPr>
      </w:pPr>
      <w:r>
        <w:rPr>
          <w:szCs w:val="22"/>
          <w:lang w:val="en-GB"/>
        </w:rPr>
        <w:t xml:space="preserve">EXIT </w:t>
      </w:r>
      <w:r>
        <w:rPr>
          <w:szCs w:val="22"/>
        </w:rPr>
        <w:t>COSTS</w:t>
      </w:r>
      <w:r>
        <w:rPr>
          <w:szCs w:val="22"/>
          <w:lang w:val="en-GB"/>
        </w:rPr>
        <w:t xml:space="preserve"> AT CALL-OFF STAGE</w:t>
      </w:r>
      <w:r>
        <w:rPr>
          <w:b/>
          <w:szCs w:val="22"/>
          <w:lang w:val="en-GB"/>
        </w:rPr>
        <w:t xml:space="preserve"> </w:t>
      </w:r>
      <w:r>
        <w:rPr>
          <w:szCs w:val="22"/>
          <w:lang w:val="en-GB"/>
        </w:rPr>
        <w:t>- Any decision regarding Suppliers exposure to LGPS</w:t>
      </w:r>
      <w:r>
        <w:rPr>
          <w:rFonts w:cs="Arial"/>
          <w:szCs w:val="22"/>
          <w:lang w:val="en-GB"/>
        </w:rPr>
        <w:t xml:space="preserve"> costs arising at the end of the Contract will be notified at Call Off.</w:t>
      </w:r>
    </w:p>
    <w:p w14:paraId="54E3ADAA" w14:textId="77777777" w:rsidR="00D607AE" w:rsidRDefault="00D607AE">
      <w:pPr>
        <w:pStyle w:val="GPSL4numberedclause"/>
        <w:numPr>
          <w:ilvl w:val="0"/>
          <w:numId w:val="0"/>
        </w:numPr>
        <w:ind w:left="482"/>
        <w:rPr>
          <w:rFonts w:eastAsia="STZhongsong"/>
        </w:rPr>
      </w:pPr>
    </w:p>
    <w:p w14:paraId="3D8A482C" w14:textId="77777777" w:rsidR="00D607AE" w:rsidRDefault="00D607AE">
      <w:pPr>
        <w:pStyle w:val="GPSL4numberedclause"/>
        <w:numPr>
          <w:ilvl w:val="0"/>
          <w:numId w:val="0"/>
        </w:numPr>
        <w:ind w:left="482"/>
        <w:rPr>
          <w:rFonts w:eastAsia="STZhongsong"/>
        </w:rPr>
      </w:pPr>
    </w:p>
    <w:p w14:paraId="7CFF8BA9" w14:textId="77777777" w:rsidR="00D607AE" w:rsidRDefault="00D607AE">
      <w:pPr>
        <w:pStyle w:val="ScheduleL2"/>
        <w:numPr>
          <w:ilvl w:val="0"/>
          <w:numId w:val="0"/>
        </w:numPr>
        <w:ind w:left="961"/>
        <w:rPr>
          <w:rFonts w:ascii="Times New Roman" w:hAnsi="Times New Roman"/>
          <w:szCs w:val="22"/>
        </w:rPr>
      </w:pPr>
    </w:p>
    <w:p w14:paraId="729DBDC4" w14:textId="77777777" w:rsidR="00D607AE" w:rsidRDefault="00D607AE">
      <w:pPr>
        <w:rPr>
          <w:rFonts w:eastAsia="STZhongsong"/>
        </w:rPr>
      </w:pPr>
    </w:p>
    <w:p w14:paraId="2885ED48" w14:textId="77777777" w:rsidR="00D607AE" w:rsidRDefault="00D607AE">
      <w:pPr>
        <w:outlineLvl w:val="1"/>
        <w:rPr>
          <w:rFonts w:eastAsia="STZhongsong"/>
        </w:rPr>
      </w:pPr>
    </w:p>
    <w:p w14:paraId="34ECBE58" w14:textId="77777777" w:rsidR="00D607AE" w:rsidRDefault="00D607AE">
      <w:pPr>
        <w:ind w:left="357"/>
        <w:outlineLvl w:val="1"/>
        <w:rPr>
          <w:rFonts w:eastAsia="STZhongsong"/>
          <w:sz w:val="20"/>
        </w:rPr>
      </w:pPr>
    </w:p>
    <w:p w14:paraId="794F11FA" w14:textId="77777777" w:rsidR="00D607AE" w:rsidRDefault="00002F67">
      <w:pPr>
        <w:pStyle w:val="PartDes"/>
        <w:rPr>
          <w:rFonts w:ascii="Calibri" w:hAnsi="Calibri"/>
          <w:lang w:val="en-US"/>
        </w:rPr>
      </w:pPr>
      <w:r>
        <w:rPr>
          <w:rFonts w:ascii="Calibri" w:eastAsia="STZhongsong" w:hAnsi="Calibri" w:cs="Arial"/>
        </w:rPr>
        <w:br w:type="page"/>
      </w:r>
      <w:r>
        <w:rPr>
          <w:rFonts w:ascii="Calibri" w:hAnsi="Calibri" w:cs="Arial"/>
        </w:rPr>
        <w:lastRenderedPageBreak/>
        <w:t xml:space="preserve">PART E: </w:t>
      </w:r>
      <w:r>
        <w:rPr>
          <w:rFonts w:ascii="Calibri" w:hAnsi="Calibri"/>
          <w:lang w:val="en-US"/>
        </w:rPr>
        <w:t>STAFF TRANSFER ON EXIT (MANDATORY)</w:t>
      </w:r>
    </w:p>
    <w:p w14:paraId="6971A61E" w14:textId="77777777" w:rsidR="00D607AE" w:rsidRDefault="00002F67">
      <w:pPr>
        <w:pStyle w:val="ScheduleL1"/>
        <w:numPr>
          <w:ilvl w:val="0"/>
          <w:numId w:val="27"/>
        </w:numPr>
        <w:tabs>
          <w:tab w:val="clear" w:pos="720"/>
        </w:tabs>
        <w:ind w:left="357" w:hanging="357"/>
        <w:rPr>
          <w:szCs w:val="22"/>
        </w:rPr>
      </w:pPr>
      <w:r>
        <w:rPr>
          <w:szCs w:val="22"/>
        </w:rPr>
        <w:t>PRE-SERVICE TRANSFER OBLIGATIONS</w:t>
      </w:r>
    </w:p>
    <w:p w14:paraId="47FEC84E" w14:textId="77777777" w:rsidR="00D607AE" w:rsidRDefault="00002F67">
      <w:pPr>
        <w:pStyle w:val="ScheduleL2"/>
        <w:keepNext/>
        <w:rPr>
          <w:szCs w:val="22"/>
        </w:rPr>
      </w:pPr>
      <w:bookmarkStart w:id="192" w:name="_Ref492896638"/>
      <w:r>
        <w:rPr>
          <w:szCs w:val="22"/>
        </w:rPr>
        <w:t>The Supplier agrees that within 20 Working Days of the earliest of:</w:t>
      </w:r>
      <w:bookmarkEnd w:id="192"/>
    </w:p>
    <w:p w14:paraId="14573866" w14:textId="77777777" w:rsidR="00D607AE" w:rsidRDefault="00002F67">
      <w:pPr>
        <w:pStyle w:val="ScheduleL3"/>
        <w:rPr>
          <w:szCs w:val="22"/>
        </w:rPr>
      </w:pPr>
      <w:bookmarkStart w:id="193" w:name="_Ref492896666"/>
      <w:r>
        <w:rPr>
          <w:szCs w:val="22"/>
        </w:rPr>
        <w:t>receipt of a notification from the Buyer of a Service Transfer or intended Service Transfer;</w:t>
      </w:r>
      <w:bookmarkEnd w:id="193"/>
      <w:r>
        <w:rPr>
          <w:szCs w:val="22"/>
        </w:rPr>
        <w:t xml:space="preserve"> </w:t>
      </w:r>
    </w:p>
    <w:p w14:paraId="711B4F48" w14:textId="77777777" w:rsidR="00D607AE" w:rsidRDefault="00002F67">
      <w:pPr>
        <w:pStyle w:val="ScheduleL3"/>
        <w:rPr>
          <w:szCs w:val="22"/>
        </w:rPr>
      </w:pPr>
      <w:bookmarkStart w:id="194" w:name="_Ref492896672"/>
      <w:r>
        <w:rPr>
          <w:szCs w:val="22"/>
        </w:rPr>
        <w:t>receipt of the giving of notice of early termination or any Partial Termination of the relevant Contract;</w:t>
      </w:r>
      <w:bookmarkEnd w:id="194"/>
      <w:r>
        <w:rPr>
          <w:szCs w:val="22"/>
        </w:rPr>
        <w:t xml:space="preserve"> </w:t>
      </w:r>
    </w:p>
    <w:p w14:paraId="3FBD8022" w14:textId="77777777" w:rsidR="00D607AE" w:rsidRDefault="00002F67">
      <w:pPr>
        <w:pStyle w:val="ScheduleL3"/>
        <w:rPr>
          <w:szCs w:val="22"/>
        </w:rPr>
      </w:pPr>
      <w:bookmarkStart w:id="195" w:name="_Ref492896681"/>
      <w:r>
        <w:rPr>
          <w:szCs w:val="22"/>
        </w:rPr>
        <w:t>the date which is 12 Months before the end of the Term; and</w:t>
      </w:r>
      <w:bookmarkEnd w:id="195"/>
    </w:p>
    <w:p w14:paraId="63E95F4F" w14:textId="77777777" w:rsidR="00D607AE" w:rsidRDefault="00002F67">
      <w:pPr>
        <w:pStyle w:val="ScheduleL3"/>
        <w:rPr>
          <w:szCs w:val="22"/>
        </w:rPr>
      </w:pPr>
      <w:r>
        <w:rPr>
          <w:szCs w:val="22"/>
        </w:rPr>
        <w:t>receipt of a written request of the Buyer at any time (provided that the Buyer shall only be entitled to make one such request in any 6 Month period),</w:t>
      </w:r>
    </w:p>
    <w:p w14:paraId="0AFA3411" w14:textId="77777777" w:rsidR="00D607AE" w:rsidRDefault="00002F67">
      <w:pPr>
        <w:pStyle w:val="MarginText"/>
        <w:ind w:left="992"/>
        <w:rPr>
          <w:rFonts w:ascii="Calibri" w:hAnsi="Calibri"/>
        </w:rPr>
      </w:pPr>
      <w:r>
        <w:rPr>
          <w:rFonts w:ascii="Calibri" w:hAnsi="Calibri"/>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3BAC25E6" w14:textId="77777777" w:rsidR="00D607AE" w:rsidRDefault="00002F67">
      <w:pPr>
        <w:pStyle w:val="ScheduleL2"/>
        <w:rPr>
          <w:szCs w:val="22"/>
        </w:rPr>
      </w:pPr>
      <w:bookmarkStart w:id="196" w:name="_Ref492896645"/>
      <w:r>
        <w:rPr>
          <w:szCs w:val="22"/>
        </w:rPr>
        <w:t>At least 20 Working Days prior to the Service Transfer Date, the Supplier shall provide to the Buyer or at the direction of the Buyer to any Replacement Supplier and/or any Replacement Subcontractor (</w:t>
      </w:r>
      <w:proofErr w:type="spellStart"/>
      <w:r>
        <w:rPr>
          <w:szCs w:val="22"/>
        </w:rPr>
        <w:t>i</w:t>
      </w:r>
      <w:proofErr w:type="spellEnd"/>
      <w:r>
        <w:rPr>
          <w:szCs w:val="22"/>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96"/>
    </w:p>
    <w:p w14:paraId="5636CB76" w14:textId="77777777" w:rsidR="00D607AE" w:rsidRDefault="00002F67">
      <w:pPr>
        <w:pStyle w:val="ScheduleL2"/>
        <w:rPr>
          <w:szCs w:val="22"/>
        </w:rPr>
      </w:pPr>
      <w:r>
        <w:rPr>
          <w:szCs w:val="22"/>
        </w:rPr>
        <w:t xml:space="preserve">The Buyer shall be permitted to use and disclose information provided by the Supplier under Paragraphs 1.1 and 1.2 for the purpose of informing any prospective Replacement Supplier and/or Replacement Subcontractor. </w:t>
      </w:r>
    </w:p>
    <w:p w14:paraId="0F283EB8" w14:textId="77777777" w:rsidR="00D607AE" w:rsidRDefault="00002F67">
      <w:pPr>
        <w:pStyle w:val="ScheduleL2"/>
        <w:rPr>
          <w:szCs w:val="22"/>
        </w:rPr>
      </w:pPr>
      <w:r>
        <w:rPr>
          <w:szCs w:val="22"/>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15FACBF3" w14:textId="77777777" w:rsidR="00D607AE" w:rsidRDefault="00002F67">
      <w:pPr>
        <w:pStyle w:val="ScheduleL2"/>
        <w:keepNext/>
        <w:rPr>
          <w:szCs w:val="22"/>
        </w:rPr>
      </w:pPr>
      <w:r>
        <w:rPr>
          <w:szCs w:val="22"/>
        </w:rPr>
        <w:t>From the date of the earliest event referred to in Paragraph 1.1.1, 1.1.2 and 1.1.3, the Supplier agrees that it shall not assign any person to the provision of the Services who is not listed on the Supplier’s Provisional Supplier Personnel List and shall, unless otherwise instructed by the Buyer (acting reasonably):</w:t>
      </w:r>
    </w:p>
    <w:p w14:paraId="516ED81B" w14:textId="77777777" w:rsidR="00D607AE" w:rsidRDefault="00002F67">
      <w:pPr>
        <w:pStyle w:val="ScheduleL3"/>
        <w:rPr>
          <w:szCs w:val="22"/>
        </w:rPr>
      </w:pPr>
      <w:r>
        <w:rPr>
          <w:szCs w:val="22"/>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246571CE" w14:textId="77777777" w:rsidR="00D607AE" w:rsidRDefault="00002F67">
      <w:pPr>
        <w:pStyle w:val="ScheduleL3"/>
        <w:rPr>
          <w:szCs w:val="22"/>
        </w:rPr>
      </w:pPr>
      <w:r>
        <w:rPr>
          <w:szCs w:val="22"/>
        </w:rPr>
        <w:t>not make, promise, propose, permit or implement any material changes to the terms and conditions of (</w:t>
      </w:r>
      <w:proofErr w:type="spellStart"/>
      <w:r>
        <w:rPr>
          <w:szCs w:val="22"/>
        </w:rPr>
        <w:t>i</w:t>
      </w:r>
      <w:proofErr w:type="spellEnd"/>
      <w:r>
        <w:rPr>
          <w:szCs w:val="22"/>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14:paraId="62CBB830" w14:textId="77777777" w:rsidR="00D607AE" w:rsidRDefault="00002F67">
      <w:pPr>
        <w:pStyle w:val="ScheduleL3"/>
        <w:rPr>
          <w:szCs w:val="22"/>
        </w:rPr>
      </w:pPr>
      <w:r>
        <w:rPr>
          <w:szCs w:val="22"/>
        </w:rPr>
        <w:lastRenderedPageBreak/>
        <w:t>not increase the proportion of working time spent on the Services (or the relevant part of the Services) by any of the Supplier Personnel save for fulfilling assignments and projects previously scheduled and agreed;</w:t>
      </w:r>
    </w:p>
    <w:p w14:paraId="3C65E6CC" w14:textId="77777777" w:rsidR="00D607AE" w:rsidRDefault="00002F67">
      <w:pPr>
        <w:pStyle w:val="ScheduleL3"/>
        <w:rPr>
          <w:szCs w:val="22"/>
        </w:rPr>
      </w:pPr>
      <w:r>
        <w:rPr>
          <w:szCs w:val="22"/>
        </w:rPr>
        <w:t>not introduce any new contractual or customary practice concerning the making of any lump sum payment on the termination of employment of any employees listed on the Supplier's Provisional Supplier Personnel List;</w:t>
      </w:r>
    </w:p>
    <w:p w14:paraId="2C540663" w14:textId="77777777" w:rsidR="00D607AE" w:rsidRDefault="00002F67">
      <w:pPr>
        <w:pStyle w:val="ScheduleL3"/>
        <w:rPr>
          <w:szCs w:val="22"/>
        </w:rPr>
      </w:pPr>
      <w:r>
        <w:rPr>
          <w:szCs w:val="22"/>
        </w:rPr>
        <w:t>not increase or reduce the total number of employees so engaged, or deploy any other person to perform the Services (or the relevant part of the Services);</w:t>
      </w:r>
    </w:p>
    <w:p w14:paraId="2E85DB7C" w14:textId="77777777" w:rsidR="00D607AE" w:rsidRDefault="00002F67">
      <w:pPr>
        <w:pStyle w:val="ScheduleL3"/>
        <w:rPr>
          <w:szCs w:val="22"/>
        </w:rPr>
      </w:pPr>
      <w:r>
        <w:rPr>
          <w:szCs w:val="22"/>
        </w:rPr>
        <w:t>not terminate or give notice to terminate the employment or contracts of any persons on the Supplier's Provisional Supplier Personnel List save by due disciplinary process;</w:t>
      </w:r>
    </w:p>
    <w:p w14:paraId="6041DD84" w14:textId="77777777" w:rsidR="00D607AE" w:rsidRDefault="00002F67">
      <w:pPr>
        <w:pStyle w:val="ScheduleL3"/>
        <w:rPr>
          <w:szCs w:val="22"/>
        </w:rPr>
      </w:pPr>
      <w:r>
        <w:rPr>
          <w:rFonts w:cs="Arial"/>
          <w:szCs w:val="22"/>
        </w:rPr>
        <w:t xml:space="preserve">not </w:t>
      </w:r>
      <w:r>
        <w:rPr>
          <w:szCs w:val="22"/>
        </w:rPr>
        <w:t>dissuade or discourage any employees engaged in the provision of the Services from transferring their employment to the Buyer and/or the Replacement Supplier and/or Replacement Subcontractor;</w:t>
      </w:r>
    </w:p>
    <w:p w14:paraId="59DBF701" w14:textId="77777777" w:rsidR="00D607AE" w:rsidRDefault="00002F67">
      <w:pPr>
        <w:pStyle w:val="ScheduleL3"/>
        <w:rPr>
          <w:szCs w:val="22"/>
        </w:rPr>
      </w:pPr>
      <w:r>
        <w:rPr>
          <w:szCs w:val="22"/>
        </w:rPr>
        <w:t>give the Buyer and/or the Replacement Supplier and/or Replacement Subcontractor reasonable access to Supplier Personnel and/or their consultation representatives to inform them of the intended transfer and consult any measures envisaged by the Buyer, Replacement Supplier and/or Replacement Subcontractor in respect of persons expected to be Transferring Supplier Employees;</w:t>
      </w:r>
    </w:p>
    <w:p w14:paraId="669FCA56" w14:textId="77777777" w:rsidR="00D607AE" w:rsidRDefault="00002F67">
      <w:pPr>
        <w:pStyle w:val="ScheduleL3"/>
        <w:rPr>
          <w:szCs w:val="22"/>
        </w:rPr>
      </w:pPr>
      <w:r>
        <w:rPr>
          <w:szCs w:val="22"/>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1B223171" w14:textId="77777777" w:rsidR="00D607AE" w:rsidRDefault="00002F67">
      <w:pPr>
        <w:pStyle w:val="ScheduleL3"/>
        <w:rPr>
          <w:rFonts w:ascii="Times New Roman" w:hAnsi="Times New Roman"/>
          <w:szCs w:val="22"/>
        </w:rPr>
      </w:pPr>
      <w:r>
        <w:rPr>
          <w:rFonts w:cs="Arial"/>
          <w:szCs w:val="22"/>
        </w:rPr>
        <w:t>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14:paraId="09CF7A9F" w14:textId="3F682B62" w:rsidR="00D607AE" w:rsidRPr="00C67728" w:rsidRDefault="00002F67">
      <w:pPr>
        <w:pStyle w:val="ScheduleL3"/>
        <w:rPr>
          <w:rFonts w:ascii="Times New Roman" w:hAnsi="Times New Roman"/>
          <w:szCs w:val="22"/>
        </w:rPr>
      </w:pPr>
      <w:r>
        <w:rPr>
          <w:rFonts w:cs="Arial"/>
          <w:szCs w:val="22"/>
        </w:rPr>
        <w:t>not for a period of 12 Months from the Service Transfer Date re-employ or re-engage or entice any employees, suppliers or Subcontractors whose employment or engagement is transferred to the Buyer and/or the Replacement Supplier (unless otherwise instructed by the Buyer(acting reasonably));</w:t>
      </w:r>
    </w:p>
    <w:p w14:paraId="1A551590" w14:textId="3B090677" w:rsidR="00EF5C52" w:rsidRPr="00C67728" w:rsidRDefault="00EF5C52" w:rsidP="00C67728">
      <w:pPr>
        <w:pStyle w:val="ScheduleL4"/>
        <w:rPr>
          <w:rFonts w:asciiTheme="minorHAnsi" w:hAnsiTheme="minorHAnsi" w:cstheme="minorHAnsi"/>
          <w:szCs w:val="22"/>
        </w:rPr>
      </w:pPr>
      <w:r w:rsidRPr="00C67728">
        <w:rPr>
          <w:rFonts w:asciiTheme="minorHAnsi" w:hAnsiTheme="minorHAnsi" w:cstheme="minorHAnsi" w:hint="eastAsia"/>
          <w:color w:val="000000"/>
          <w:szCs w:val="22"/>
          <w:shd w:val="clear" w:color="auto" w:fill="FFFFFF"/>
        </w:rPr>
        <w:t>The Parties agree Clause 19 (Other people</w:t>
      </w:r>
      <w:r w:rsidRPr="00C67728">
        <w:rPr>
          <w:rFonts w:asciiTheme="minorHAnsi" w:hAnsiTheme="minorHAnsi" w:cstheme="minorHAnsi" w:hint="eastAsia"/>
          <w:color w:val="000000"/>
          <w:szCs w:val="22"/>
          <w:shd w:val="clear" w:color="auto" w:fill="FFFFFF"/>
        </w:rPr>
        <w:t>’</w:t>
      </w:r>
      <w:r w:rsidRPr="00C67728">
        <w:rPr>
          <w:rFonts w:asciiTheme="minorHAnsi" w:hAnsiTheme="minorHAnsi" w:cstheme="minorHAnsi" w:hint="eastAsia"/>
          <w:color w:val="000000"/>
          <w:szCs w:val="22"/>
          <w:shd w:val="clear" w:color="auto" w:fill="FFFFFF"/>
        </w:rPr>
        <w:t>s rights in this contract) does not apply and that the CRTPA</w:t>
      </w:r>
      <w:r w:rsidR="005F5F72">
        <w:rPr>
          <w:rFonts w:asciiTheme="minorHAnsi" w:hAnsiTheme="minorHAnsi" w:cstheme="minorHAnsi" w:hint="eastAsia"/>
          <w:color w:val="000000"/>
          <w:szCs w:val="22"/>
          <w:shd w:val="clear" w:color="auto" w:fill="FFFFFF"/>
        </w:rPr>
        <w:t xml:space="preserve"> applies to this Part E Para 1.5</w:t>
      </w:r>
      <w:r w:rsidRPr="00C67728">
        <w:rPr>
          <w:rFonts w:asciiTheme="minorHAnsi" w:hAnsiTheme="minorHAnsi" w:cstheme="minorHAnsi" w:hint="eastAsia"/>
          <w:color w:val="000000"/>
          <w:szCs w:val="22"/>
          <w:shd w:val="clear" w:color="auto" w:fill="FFFFFF"/>
        </w:rPr>
        <w:t>.11 to the extent necessary to ensure that any Replacement Supplier will have the right to enforce any obligation owed to him or her or it by the Supplier under this Part E Para 1.5.11, in his or her or its own right under section 1(1) of the CRTPA.</w:t>
      </w:r>
    </w:p>
    <w:p w14:paraId="779FCC92" w14:textId="77777777" w:rsidR="00D607AE" w:rsidRDefault="00002F67">
      <w:pPr>
        <w:pStyle w:val="ScheduleL3"/>
        <w:rPr>
          <w:rFonts w:ascii="Times New Roman" w:hAnsi="Times New Roman"/>
          <w:szCs w:val="22"/>
        </w:rPr>
      </w:pPr>
      <w:r>
        <w:rPr>
          <w:rFonts w:cs="Arial"/>
          <w:szCs w:val="22"/>
        </w:rPr>
        <w:t xml:space="preserve">not to adversely affect pension rights accrued by all and any Fair Deal Employees in the period ending on the Service Transfer Date; </w:t>
      </w:r>
    </w:p>
    <w:p w14:paraId="487800B0" w14:textId="77777777" w:rsidR="00D607AE" w:rsidRDefault="00002F67">
      <w:pPr>
        <w:pStyle w:val="ScheduleL3"/>
        <w:rPr>
          <w:rFonts w:ascii="Times New Roman" w:hAnsi="Times New Roman"/>
          <w:szCs w:val="22"/>
        </w:rPr>
      </w:pPr>
      <w:r>
        <w:rPr>
          <w:rFonts w:cs="Arial"/>
          <w:szCs w:val="22"/>
        </w:rPr>
        <w:t>fully fund any Broadly Comparable pension schemes set up by the Supplier;</w:t>
      </w:r>
    </w:p>
    <w:p w14:paraId="3EBF3F52" w14:textId="77777777" w:rsidR="00D607AE" w:rsidRDefault="00002F67">
      <w:pPr>
        <w:pStyle w:val="ScheduleL3"/>
        <w:rPr>
          <w:rFonts w:cs="Arial"/>
          <w:szCs w:val="22"/>
        </w:rPr>
      </w:pPr>
      <w:r>
        <w:rPr>
          <w:rFonts w:cs="Arial"/>
          <w:szCs w:val="22"/>
        </w:rPr>
        <w:lastRenderedPageBreak/>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14:paraId="49ED0F65" w14:textId="77777777" w:rsidR="00D607AE" w:rsidRDefault="00002F67">
      <w:pPr>
        <w:pStyle w:val="ScheduleL3"/>
        <w:rPr>
          <w:rFonts w:cs="Arial"/>
          <w:szCs w:val="22"/>
        </w:rPr>
      </w:pPr>
      <w:r>
        <w:rPr>
          <w:rFonts w:cs="Arial"/>
          <w:szCs w:val="22"/>
        </w:rPr>
        <w:t>promptly provide to the Buyer such documents and information mentioned in Paragraph 3.1.1 of Part D: Pensions which the Buyer may reasonably request in advance of the expiry or termination of this Contract; and</w:t>
      </w:r>
    </w:p>
    <w:p w14:paraId="26747108" w14:textId="77777777" w:rsidR="00D607AE" w:rsidRDefault="00002F67">
      <w:pPr>
        <w:pStyle w:val="ScheduleL3"/>
        <w:rPr>
          <w:rFonts w:cs="Arial"/>
          <w:szCs w:val="22"/>
        </w:rPr>
      </w:pPr>
      <w:r>
        <w:rPr>
          <w:rFonts w:cs="Arial"/>
          <w:szCs w:val="22"/>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14:paraId="5C21037D" w14:textId="77777777" w:rsidR="00D607AE" w:rsidRDefault="00002F67">
      <w:pPr>
        <w:pStyle w:val="ScheduleL2"/>
        <w:keepNext/>
        <w:rPr>
          <w:szCs w:val="22"/>
        </w:rPr>
      </w:pPr>
      <w:r>
        <w:rPr>
          <w:szCs w:val="22"/>
        </w:rPr>
        <w:t xml:space="preserve">On or around each anniversary of the Effective Date and up to four times during the last 12 Months of the Term, the Buyer may make written requests to the Supplier for information relating to the manner in which the Services are </w:t>
      </w:r>
      <w:proofErr w:type="spellStart"/>
      <w:r>
        <w:rPr>
          <w:szCs w:val="22"/>
        </w:rPr>
        <w:t>organised</w:t>
      </w:r>
      <w:proofErr w:type="spellEnd"/>
      <w:r>
        <w:rPr>
          <w:szCs w:val="22"/>
        </w:rPr>
        <w:t>.  Within 20 Working Days of receipt of a written request the Supplier shall provide such information as the Buyer may reasonably require which shall include:</w:t>
      </w:r>
    </w:p>
    <w:p w14:paraId="798FCC77" w14:textId="77777777" w:rsidR="00D607AE" w:rsidRDefault="00002F67">
      <w:pPr>
        <w:pStyle w:val="ScheduleL3"/>
        <w:rPr>
          <w:szCs w:val="22"/>
        </w:rPr>
      </w:pPr>
      <w:r>
        <w:rPr>
          <w:szCs w:val="22"/>
        </w:rPr>
        <w:t>the numbers of employees engaged in providing the Services;</w:t>
      </w:r>
    </w:p>
    <w:p w14:paraId="1CA3ED50" w14:textId="77777777" w:rsidR="00D607AE" w:rsidRDefault="00002F67">
      <w:pPr>
        <w:pStyle w:val="ScheduleL3"/>
        <w:rPr>
          <w:szCs w:val="22"/>
        </w:rPr>
      </w:pPr>
      <w:r>
        <w:rPr>
          <w:szCs w:val="22"/>
        </w:rPr>
        <w:t>the percentage of time spent by each employee engaged in providing the Services;</w:t>
      </w:r>
    </w:p>
    <w:p w14:paraId="57D3E81C" w14:textId="77777777" w:rsidR="00D607AE" w:rsidRDefault="00002F67">
      <w:pPr>
        <w:pStyle w:val="ScheduleL3"/>
        <w:rPr>
          <w:szCs w:val="22"/>
        </w:rPr>
      </w:pPr>
      <w:r>
        <w:rPr>
          <w:szCs w:val="22"/>
        </w:rPr>
        <w:t>the extent to which each employee qualifies for membership of any of the Fair Deal Schemes (as defined in Part D: Pensions); and</w:t>
      </w:r>
    </w:p>
    <w:p w14:paraId="777C5009" w14:textId="77777777" w:rsidR="00D607AE" w:rsidRDefault="00002F67">
      <w:pPr>
        <w:pStyle w:val="ScheduleL3"/>
        <w:rPr>
          <w:szCs w:val="22"/>
        </w:rPr>
      </w:pPr>
      <w:proofErr w:type="gramStart"/>
      <w:r>
        <w:rPr>
          <w:szCs w:val="22"/>
        </w:rPr>
        <w:t>a</w:t>
      </w:r>
      <w:proofErr w:type="gramEnd"/>
      <w:r>
        <w:rPr>
          <w:szCs w:val="22"/>
        </w:rPr>
        <w:t xml:space="preserve"> description of the nature of the work undertaken by each employee by location.</w:t>
      </w:r>
    </w:p>
    <w:p w14:paraId="77176F9D" w14:textId="77777777" w:rsidR="00D607AE" w:rsidRDefault="00002F67">
      <w:pPr>
        <w:pStyle w:val="ScheduleL2"/>
        <w:keepNext/>
        <w:rPr>
          <w:szCs w:val="22"/>
        </w:rPr>
      </w:pPr>
      <w:r>
        <w:rPr>
          <w:szCs w:val="22"/>
        </w:rPr>
        <w:t>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Subcontractor (as appropriate), in respect of each person on the Supplier's Final Supplier Personnel List who is a Transferring Supplier Employee:</w:t>
      </w:r>
    </w:p>
    <w:p w14:paraId="5921CE19" w14:textId="77777777" w:rsidR="00D607AE" w:rsidRDefault="00002F67">
      <w:pPr>
        <w:pStyle w:val="ScheduleL3"/>
        <w:rPr>
          <w:szCs w:val="22"/>
        </w:rPr>
      </w:pPr>
      <w:r>
        <w:rPr>
          <w:szCs w:val="22"/>
        </w:rPr>
        <w:t>the most recent month's copy pay slip data;</w:t>
      </w:r>
    </w:p>
    <w:p w14:paraId="00EC7CDD" w14:textId="77777777" w:rsidR="00D607AE" w:rsidRDefault="00002F67">
      <w:pPr>
        <w:pStyle w:val="ScheduleL3"/>
        <w:rPr>
          <w:szCs w:val="22"/>
        </w:rPr>
      </w:pPr>
      <w:r>
        <w:rPr>
          <w:szCs w:val="22"/>
        </w:rPr>
        <w:t>details of cumulative pay for tax and pension purposes;</w:t>
      </w:r>
    </w:p>
    <w:p w14:paraId="0B7ECD5B" w14:textId="77777777" w:rsidR="00D607AE" w:rsidRDefault="00002F67">
      <w:pPr>
        <w:pStyle w:val="ScheduleL3"/>
        <w:rPr>
          <w:szCs w:val="22"/>
        </w:rPr>
      </w:pPr>
      <w:r>
        <w:rPr>
          <w:szCs w:val="22"/>
        </w:rPr>
        <w:t>details of cumulative tax paid;</w:t>
      </w:r>
    </w:p>
    <w:p w14:paraId="1A98CFD6" w14:textId="77777777" w:rsidR="00D607AE" w:rsidRDefault="00002F67">
      <w:pPr>
        <w:pStyle w:val="ScheduleL3"/>
        <w:rPr>
          <w:szCs w:val="22"/>
        </w:rPr>
      </w:pPr>
      <w:r>
        <w:rPr>
          <w:szCs w:val="22"/>
        </w:rPr>
        <w:t>tax code;</w:t>
      </w:r>
    </w:p>
    <w:p w14:paraId="736A176C" w14:textId="77777777" w:rsidR="00D607AE" w:rsidRDefault="00002F67">
      <w:pPr>
        <w:pStyle w:val="ScheduleL3"/>
        <w:rPr>
          <w:szCs w:val="22"/>
        </w:rPr>
      </w:pPr>
      <w:r>
        <w:rPr>
          <w:szCs w:val="22"/>
        </w:rPr>
        <w:t>details of any voluntary deductions from pay; and</w:t>
      </w:r>
    </w:p>
    <w:p w14:paraId="48118827" w14:textId="77777777" w:rsidR="00D607AE" w:rsidRDefault="00002F67">
      <w:pPr>
        <w:pStyle w:val="ScheduleL3"/>
        <w:rPr>
          <w:szCs w:val="22"/>
        </w:rPr>
      </w:pPr>
      <w:proofErr w:type="gramStart"/>
      <w:r>
        <w:rPr>
          <w:szCs w:val="22"/>
        </w:rPr>
        <w:t>bank/building</w:t>
      </w:r>
      <w:proofErr w:type="gramEnd"/>
      <w:r>
        <w:rPr>
          <w:szCs w:val="22"/>
        </w:rPr>
        <w:t xml:space="preserve"> society account details for payroll purposes.</w:t>
      </w:r>
    </w:p>
    <w:p w14:paraId="63A1106A" w14:textId="77777777" w:rsidR="00D607AE" w:rsidRDefault="00002F67">
      <w:pPr>
        <w:pStyle w:val="ScheduleL1"/>
        <w:rPr>
          <w:szCs w:val="22"/>
        </w:rPr>
      </w:pPr>
      <w:r>
        <w:rPr>
          <w:szCs w:val="22"/>
        </w:rPr>
        <w:lastRenderedPageBreak/>
        <w:t>EMPLOYMENT REGULATIONS EXIT PROVISIONS</w:t>
      </w:r>
    </w:p>
    <w:p w14:paraId="34FFA0F4" w14:textId="77777777" w:rsidR="00D607AE" w:rsidRDefault="00002F67">
      <w:pPr>
        <w:pStyle w:val="ScheduleL2"/>
        <w:rPr>
          <w:szCs w:val="22"/>
        </w:rPr>
      </w:pPr>
      <w:r>
        <w:rPr>
          <w:szCs w:val="22"/>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w:t>
      </w:r>
      <w:proofErr w:type="spellStart"/>
      <w:r>
        <w:rPr>
          <w:szCs w:val="22"/>
        </w:rPr>
        <w:t>disapplied</w:t>
      </w:r>
      <w:proofErr w:type="spellEnd"/>
      <w:r>
        <w:rPr>
          <w:szCs w:val="22"/>
        </w:rPr>
        <w:t xml:space="preserve">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4DCE8070" w14:textId="77777777" w:rsidR="00D607AE" w:rsidRDefault="00002F67">
      <w:pPr>
        <w:pStyle w:val="ScheduleL2"/>
        <w:rPr>
          <w:szCs w:val="22"/>
        </w:rPr>
      </w:pPr>
      <w:r>
        <w:rPr>
          <w:szCs w:val="22"/>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14:paraId="062233B0" w14:textId="77777777" w:rsidR="00D607AE" w:rsidRDefault="00002F67">
      <w:pPr>
        <w:pStyle w:val="ScheduleL2"/>
        <w:rPr>
          <w:szCs w:val="22"/>
        </w:rPr>
      </w:pPr>
      <w:bookmarkStart w:id="197" w:name="_Ref492896697"/>
      <w:r>
        <w:rPr>
          <w:szCs w:val="22"/>
        </w:rPr>
        <w:t>Subject to Paragraph 2.4,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bookmarkEnd w:id="197"/>
    </w:p>
    <w:p w14:paraId="6925A919" w14:textId="77777777" w:rsidR="00D607AE" w:rsidRDefault="00002F67">
      <w:pPr>
        <w:pStyle w:val="ScheduleL2"/>
        <w:rPr>
          <w:szCs w:val="22"/>
        </w:rPr>
      </w:pPr>
      <w:bookmarkStart w:id="198" w:name="_Ref492896694"/>
      <w:r>
        <w:rPr>
          <w:szCs w:val="22"/>
        </w:rPr>
        <w:t>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w:t>
      </w:r>
      <w:bookmarkEnd w:id="198"/>
      <w:r>
        <w:rPr>
          <w:szCs w:val="22"/>
        </w:rPr>
        <w:t xml:space="preserve"> </w:t>
      </w:r>
    </w:p>
    <w:p w14:paraId="64D50CD4" w14:textId="77777777" w:rsidR="00D607AE" w:rsidRDefault="00002F67">
      <w:pPr>
        <w:pStyle w:val="ScheduleL2"/>
        <w:keepNext/>
        <w:rPr>
          <w:szCs w:val="22"/>
        </w:rPr>
      </w:pPr>
      <w:bookmarkStart w:id="199" w:name="_Ref492896737"/>
      <w:r>
        <w:rPr>
          <w:szCs w:val="22"/>
        </w:rPr>
        <w:t xml:space="preserve">Subject to Paragraphs 2.6 and 2.7,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and/or Replacement Subcontractor pursuant to the Employment Regulations </w:t>
      </w:r>
      <w:bookmarkEnd w:id="199"/>
      <w:r>
        <w:rPr>
          <w:szCs w:val="22"/>
        </w:rPr>
        <w:t>then.</w:t>
      </w:r>
    </w:p>
    <w:p w14:paraId="5C5A1EAB" w14:textId="77777777" w:rsidR="00D607AE" w:rsidRDefault="00002F67">
      <w:pPr>
        <w:pStyle w:val="ScheduleL3"/>
        <w:rPr>
          <w:szCs w:val="22"/>
        </w:rPr>
      </w:pPr>
      <w:bookmarkStart w:id="200" w:name="_Ref492896726"/>
      <w:r>
        <w:rPr>
          <w:szCs w:val="22"/>
        </w:rPr>
        <w:t>the Replacement Supplier and/or Replacement Subcontractor will, within 5 Working Days of becoming aware of that fact, notify the Buyer and the Supplier in writing;</w:t>
      </w:r>
      <w:bookmarkEnd w:id="200"/>
    </w:p>
    <w:p w14:paraId="0857776B" w14:textId="77777777" w:rsidR="00D607AE" w:rsidRDefault="00002F67">
      <w:pPr>
        <w:pStyle w:val="ScheduleL3"/>
        <w:rPr>
          <w:szCs w:val="22"/>
        </w:rPr>
      </w:pPr>
      <w:bookmarkStart w:id="201" w:name="_Ref492896721"/>
      <w:r>
        <w:rPr>
          <w:szCs w:val="22"/>
        </w:rPr>
        <w:t>the Supplier may offer employment to such person, or take such other steps as it considered appropriate to resolve the matter, within 10 Working Days of receipt of notice from the Replacement Supplier and/or Replacement Subcontractor;</w:t>
      </w:r>
      <w:bookmarkEnd w:id="201"/>
    </w:p>
    <w:p w14:paraId="1E8CE990" w14:textId="77777777" w:rsidR="00D607AE" w:rsidRDefault="00002F67">
      <w:pPr>
        <w:pStyle w:val="ScheduleL3"/>
        <w:rPr>
          <w:szCs w:val="22"/>
        </w:rPr>
      </w:pPr>
      <w:r>
        <w:rPr>
          <w:szCs w:val="22"/>
        </w:rPr>
        <w:t>if such offer of employment is accepted, the Replacement Supplier and/or Replacement Subcontractor shall immediately release the person from its employment;</w:t>
      </w:r>
    </w:p>
    <w:p w14:paraId="1EE8FACD" w14:textId="77777777" w:rsidR="00D607AE" w:rsidRDefault="00002F67">
      <w:pPr>
        <w:pStyle w:val="ScheduleL3"/>
        <w:rPr>
          <w:szCs w:val="22"/>
        </w:rPr>
      </w:pPr>
      <w:bookmarkStart w:id="202" w:name="_Ref492896730"/>
      <w:r>
        <w:rPr>
          <w:szCs w:val="22"/>
        </w:rPr>
        <w:t>if after the period referred to in Paragraph 2.5.2 no such offer has been made, or such offer has been made but not accepted, the Replacement Supplier and/or Replacement Subcontractor may within 5 Working Days give notice to terminate the employment of such person;</w:t>
      </w:r>
      <w:bookmarkEnd w:id="202"/>
    </w:p>
    <w:p w14:paraId="6AEA5ADE" w14:textId="77777777" w:rsidR="00D607AE" w:rsidRDefault="00002F67">
      <w:pPr>
        <w:pStyle w:val="Heading3"/>
        <w:keepLines w:val="0"/>
        <w:numPr>
          <w:ilvl w:val="0"/>
          <w:numId w:val="0"/>
        </w:numPr>
        <w:ind w:left="993"/>
        <w:rPr>
          <w:rFonts w:ascii="Calibri" w:hAnsi="Calibri"/>
        </w:rPr>
      </w:pPr>
      <w:r>
        <w:rPr>
          <w:rFonts w:ascii="Calibri" w:hAnsi="Calibri"/>
        </w:rPr>
        <w:t xml:space="preserve">and subject to the Replacement Supplier's and/or Replacement Subcontractor's compliance with Paragraphs 2.5.1 to 2.5.4 the Supplier will indemnify the Replacement </w:t>
      </w:r>
      <w:r>
        <w:rPr>
          <w:rFonts w:ascii="Calibri" w:hAnsi="Calibri"/>
        </w:rPr>
        <w:lastRenderedPageBreak/>
        <w:t xml:space="preserve">Supplier and/or Replacement Subcontractor against all Employee Liabilities arising out of the termination of the employment of any of the Supplier's  employees referred to in Paragraph 2.5. </w:t>
      </w:r>
    </w:p>
    <w:p w14:paraId="3BACF308" w14:textId="77777777" w:rsidR="00D607AE" w:rsidRDefault="00002F67">
      <w:pPr>
        <w:pStyle w:val="ScheduleL2"/>
        <w:keepNext/>
        <w:rPr>
          <w:szCs w:val="22"/>
        </w:rPr>
      </w:pPr>
      <w:bookmarkStart w:id="203" w:name="_Ref492896705"/>
      <w:r>
        <w:rPr>
          <w:szCs w:val="22"/>
        </w:rPr>
        <w:t>The indemnity in Paragraph 2.5 shall not apply to:</w:t>
      </w:r>
      <w:bookmarkEnd w:id="203"/>
    </w:p>
    <w:p w14:paraId="74F44176" w14:textId="77777777" w:rsidR="00D607AE" w:rsidRDefault="00002F67">
      <w:pPr>
        <w:pStyle w:val="ScheduleL3"/>
        <w:rPr>
          <w:szCs w:val="22"/>
        </w:rPr>
      </w:pPr>
      <w:r>
        <w:rPr>
          <w:szCs w:val="22"/>
        </w:rPr>
        <w:t>(a)</w:t>
      </w:r>
      <w:r>
        <w:rPr>
          <w:szCs w:val="22"/>
        </w:rPr>
        <w:tab/>
        <w:t>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14:paraId="5980379D" w14:textId="77777777" w:rsidR="00D607AE" w:rsidRDefault="00002F67">
      <w:pPr>
        <w:pStyle w:val="ScheduleL3"/>
        <w:rPr>
          <w:szCs w:val="22"/>
        </w:rPr>
      </w:pPr>
      <w:r>
        <w:rPr>
          <w:szCs w:val="22"/>
        </w:rPr>
        <w:t>(b)</w:t>
      </w:r>
      <w:r>
        <w:rPr>
          <w:szCs w:val="22"/>
        </w:rPr>
        <w:tab/>
      </w:r>
      <w:proofErr w:type="gramStart"/>
      <w:r>
        <w:rPr>
          <w:szCs w:val="22"/>
        </w:rPr>
        <w:t>any</w:t>
      </w:r>
      <w:proofErr w:type="gramEnd"/>
      <w:r>
        <w:rPr>
          <w:szCs w:val="22"/>
        </w:rPr>
        <w:t xml:space="preserve"> claim that the termination of employment was unfair because the Replacement Supplier and/or Replacement Subcontractor neglected to follow a fair dismissal procedure.</w:t>
      </w:r>
    </w:p>
    <w:p w14:paraId="26E263AB" w14:textId="77777777" w:rsidR="00D607AE" w:rsidRDefault="00002F67">
      <w:pPr>
        <w:pStyle w:val="ScheduleL2"/>
        <w:rPr>
          <w:szCs w:val="22"/>
        </w:rPr>
      </w:pPr>
      <w:bookmarkStart w:id="204" w:name="_Ref492896709"/>
      <w:r>
        <w:rPr>
          <w:szCs w:val="22"/>
        </w:rPr>
        <w:t>The indemnity in Paragraph 2.5 shall not apply to any termination of employment occurring later than 3 Months from the Service Transfer Date.</w:t>
      </w:r>
      <w:bookmarkEnd w:id="204"/>
    </w:p>
    <w:p w14:paraId="56166499" w14:textId="77777777" w:rsidR="00D607AE" w:rsidRDefault="00002F67">
      <w:pPr>
        <w:pStyle w:val="ScheduleL2"/>
        <w:rPr>
          <w:szCs w:val="22"/>
        </w:rPr>
      </w:pPr>
      <w:r>
        <w:rPr>
          <w:szCs w:val="22"/>
        </w:rPr>
        <w:t>If at any point the Replacement Supplier and/or Replacement Sub-contract accepts the employment of any such person as is described in Paragraph 2.5, such person shall be treated as a Transferring Supplier Employee and Paragraph 2.5 shall cease to apply to such person.</w:t>
      </w:r>
    </w:p>
    <w:p w14:paraId="341E1461" w14:textId="77777777" w:rsidR="00D607AE" w:rsidRDefault="00002F67">
      <w:pPr>
        <w:pStyle w:val="ScheduleL2"/>
        <w:rPr>
          <w:szCs w:val="22"/>
        </w:rPr>
      </w:pPr>
      <w:bookmarkStart w:id="205" w:name="_Ref492896770"/>
      <w:r>
        <w:rPr>
          <w:szCs w:val="22"/>
        </w:rPr>
        <w:t>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bookmarkEnd w:id="205"/>
    </w:p>
    <w:p w14:paraId="01009C11" w14:textId="77777777" w:rsidR="00D607AE" w:rsidRDefault="00002F67">
      <w:pPr>
        <w:pStyle w:val="ScheduleL2"/>
        <w:rPr>
          <w:szCs w:val="22"/>
        </w:rPr>
      </w:pPr>
      <w:bookmarkStart w:id="206" w:name="_Ref492896779"/>
      <w:r>
        <w:rPr>
          <w:szCs w:val="22"/>
        </w:rPr>
        <w:t>Subject to Paragraph 2.9, the Buyer shall procure that the Replacement Supplier indemnifies the Supplier on its own behalf and on behalf of any Replacement Subcontractor and its Subcontractors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bookmarkEnd w:id="206"/>
    </w:p>
    <w:p w14:paraId="0F6FEEF4" w14:textId="77777777" w:rsidR="00D607AE" w:rsidRDefault="00002F67">
      <w:pPr>
        <w:pStyle w:val="ScheduleL2"/>
        <w:rPr>
          <w:rFonts w:ascii="Times New Roman" w:hAnsi="Times New Roman" w:cs="Arial"/>
          <w:szCs w:val="22"/>
        </w:rPr>
      </w:pPr>
      <w:r>
        <w:rPr>
          <w:szCs w:val="22"/>
        </w:rPr>
        <w:t>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p>
    <w:p w14:paraId="542EB1A6" w14:textId="77777777" w:rsidR="00D607AE" w:rsidRDefault="00D607AE">
      <w:pPr>
        <w:rPr>
          <w:rFonts w:eastAsia="STZhongsong"/>
        </w:rPr>
      </w:pPr>
    </w:p>
    <w:p w14:paraId="1E621CB0" w14:textId="77777777" w:rsidR="00D607AE" w:rsidRDefault="00002F67">
      <w:pPr>
        <w:spacing w:after="0"/>
        <w:jc w:val="left"/>
      </w:pPr>
      <w:r>
        <w:rPr>
          <w:rFonts w:eastAsia="STZhongsong"/>
        </w:rPr>
        <w:t xml:space="preserve"> </w:t>
      </w:r>
    </w:p>
    <w:sectPr w:rsidR="00D607AE">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9683D" w14:textId="77777777" w:rsidR="00FA7BFC" w:rsidRDefault="00FA7BFC">
      <w:pPr>
        <w:spacing w:after="0"/>
        <w:rPr>
          <w:szCs w:val="24"/>
        </w:rPr>
      </w:pPr>
      <w:r>
        <w:rPr>
          <w:szCs w:val="24"/>
        </w:rPr>
        <w:separator/>
      </w:r>
    </w:p>
  </w:endnote>
  <w:endnote w:type="continuationSeparator" w:id="0">
    <w:p w14:paraId="6D501168" w14:textId="77777777" w:rsidR="00FA7BFC" w:rsidRDefault="00FA7BFC">
      <w:pPr>
        <w:spacing w:after="0"/>
        <w:rPr>
          <w:szCs w:val="24"/>
        </w:rPr>
      </w:pPr>
      <w:r>
        <w:rPr>
          <w:szCs w:val="24"/>
        </w:rPr>
        <w:continuationSeparator/>
      </w:r>
    </w:p>
  </w:endnote>
  <w:endnote w:type="continuationNotice" w:id="1">
    <w:p w14:paraId="4D6455B6" w14:textId="77777777" w:rsidR="00FA7BFC" w:rsidRDefault="00FA7BFC">
      <w:pPr>
        <w:spacing w:after="0"/>
        <w:rPr>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TZhongsong">
    <w:altName w:val="Arial Unicode MS"/>
    <w:charset w:val="00"/>
    <w:family w:val="auto"/>
    <w:pitch w:val="default"/>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Calibri-BoldItalic">
    <w:altName w:val="Cambri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A1DB8" w14:textId="77777777" w:rsidR="00D53763" w:rsidRDefault="00D537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92383" w14:textId="77777777" w:rsidR="00D53763" w:rsidRDefault="00D53763" w:rsidP="00D53763">
    <w:pPr>
      <w:rPr>
        <w:rFonts w:ascii="Times New Roman" w:hAnsi="Times New Roman"/>
      </w:rPr>
    </w:pPr>
    <w:r>
      <w:rPr>
        <w:rFonts w:ascii="Times New Roman" w:hAnsi="Times New Roman"/>
      </w:rPr>
      <w:t>Ref: RM6089</w:t>
    </w:r>
  </w:p>
  <w:p w14:paraId="489C3217" w14:textId="28042C96" w:rsidR="0034122F" w:rsidRPr="00D53763" w:rsidRDefault="00D53763" w:rsidP="00D53763">
    <w:pPr>
      <w:rPr>
        <w:rFonts w:ascii="Times New Roman" w:hAnsi="Times New Roman"/>
      </w:rPr>
    </w:pPr>
    <w:r w:rsidRPr="00D53763">
      <w:rPr>
        <w:rFonts w:ascii="Times New Roman" w:hAnsi="Times New Roman"/>
      </w:rPr>
      <w:t>Final v1.0</w:t>
    </w:r>
    <w:r w:rsidR="0034122F">
      <w:rPr>
        <w:rFonts w:ascii="Times New Roman" w:hAnsi="Times New Roma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B4760" w14:textId="77777777" w:rsidR="00D53763" w:rsidRDefault="00D537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F812F" w14:textId="77777777" w:rsidR="00FA7BFC" w:rsidRDefault="00FA7BFC">
      <w:pPr>
        <w:spacing w:after="0"/>
        <w:rPr>
          <w:szCs w:val="24"/>
        </w:rPr>
      </w:pPr>
      <w:r>
        <w:rPr>
          <w:szCs w:val="24"/>
        </w:rPr>
        <w:separator/>
      </w:r>
    </w:p>
  </w:footnote>
  <w:footnote w:type="continuationSeparator" w:id="0">
    <w:p w14:paraId="4A7A2807" w14:textId="77777777" w:rsidR="00FA7BFC" w:rsidRDefault="00FA7BFC">
      <w:pPr>
        <w:spacing w:after="0"/>
        <w:rPr>
          <w:szCs w:val="24"/>
        </w:rPr>
      </w:pPr>
      <w:r>
        <w:rPr>
          <w:szCs w:val="24"/>
        </w:rPr>
        <w:continuationSeparator/>
      </w:r>
    </w:p>
  </w:footnote>
  <w:footnote w:type="continuationNotice" w:id="1">
    <w:p w14:paraId="03A8D5A7" w14:textId="77777777" w:rsidR="00FA7BFC" w:rsidRDefault="00FA7BFC">
      <w:pPr>
        <w:spacing w:after="0"/>
        <w:rPr>
          <w:szCs w:val="24"/>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917C6" w14:textId="77777777" w:rsidR="00D53763" w:rsidRDefault="00D5376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F64B1" w14:textId="68F3E085" w:rsidR="0034122F" w:rsidRDefault="0034122F">
    <w:pPr>
      <w:pStyle w:val="Header"/>
      <w:rPr>
        <w:b/>
        <w:szCs w:val="24"/>
      </w:rPr>
    </w:pPr>
    <w:r>
      <w:rPr>
        <w:noProof/>
      </w:rPr>
      <w:drawing>
        <wp:anchor distT="0" distB="0" distL="114300" distR="114300" simplePos="0" relativeHeight="251657728" behindDoc="0" locked="0" layoutInCell="1" allowOverlap="1" wp14:anchorId="054E72A4" wp14:editId="2D90BB19">
          <wp:simplePos x="0" y="0"/>
          <wp:positionH relativeFrom="column">
            <wp:posOffset>5562600</wp:posOffset>
          </wp:positionH>
          <wp:positionV relativeFrom="paragraph">
            <wp:posOffset>-251460</wp:posOffset>
          </wp:positionV>
          <wp:extent cx="848995" cy="685800"/>
          <wp:effectExtent l="0" t="0" r="0" b="0"/>
          <wp:wrapNone/>
          <wp:docPr id="1" name="Picture 1"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pic:spPr>
              </pic:pic>
            </a:graphicData>
          </a:graphic>
          <wp14:sizeRelH relativeFrom="margin">
            <wp14:pctWidth>0</wp14:pctWidth>
          </wp14:sizeRelH>
          <wp14:sizeRelV relativeFrom="margin">
            <wp14:pctHeight>0</wp14:pctHeight>
          </wp14:sizeRelV>
        </wp:anchor>
      </w:drawing>
    </w:r>
    <w:r>
      <w:rPr>
        <w:b/>
        <w:szCs w:val="24"/>
      </w:rPr>
      <w:t>Call</w:t>
    </w:r>
    <w:r w:rsidR="00275740">
      <w:rPr>
        <w:b/>
        <w:szCs w:val="24"/>
      </w:rPr>
      <w:noBreakHyphen/>
      <w:t>Off Schedule 2 (Staff Transfer – Optional for 1B)</w:t>
    </w:r>
    <w:r>
      <w:rPr>
        <w:b/>
        <w:szCs w:val="24"/>
      </w:rPr>
      <w:t xml:space="preserve"> </w:t>
    </w:r>
    <w:r w:rsidR="005F5F72">
      <w:rPr>
        <w:b/>
        <w:szCs w:val="24"/>
      </w:rPr>
      <w:t>Final v1.0</w:t>
    </w:r>
  </w:p>
  <w:p w14:paraId="4B16A8FA" w14:textId="77777777" w:rsidR="0034122F" w:rsidRDefault="0034122F">
    <w:pPr>
      <w:pStyle w:val="Header"/>
      <w:rPr>
        <w:szCs w:val="24"/>
      </w:rPr>
    </w:pPr>
    <w:r>
      <w:rPr>
        <w:szCs w:val="24"/>
      </w:rPr>
      <w:t>Crown Copyright</w:t>
    </w:r>
    <w:r>
      <w:rPr>
        <w:rFonts w:ascii="Arial" w:hAnsi="Arial"/>
        <w:color w:val="000000"/>
        <w:szCs w:val="24"/>
      </w:rPr>
      <w:t xml:space="preserve"> </w:t>
    </w:r>
    <w:r>
      <w:rPr>
        <w:color w:val="000000"/>
        <w:szCs w:val="24"/>
      </w:rPr>
      <w:t>2018</w:t>
    </w:r>
    <w:r>
      <w:rPr>
        <w:szCs w:val="24"/>
      </w:rPr>
      <w:t xml:space="preserve"> </w:t>
    </w:r>
  </w:p>
  <w:p w14:paraId="3F5D4E05" w14:textId="77777777" w:rsidR="0034122F" w:rsidRDefault="0034122F">
    <w:pPr>
      <w:pStyle w:val="Header"/>
      <w:rPr>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8C8F0" w14:textId="77777777" w:rsidR="00D53763" w:rsidRDefault="00D537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AD02BAE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22C6784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9C2E2852"/>
    <w:lvl w:ilvl="0">
      <w:numFmt w:val="decimal"/>
      <w:lvlText w:val="*"/>
      <w:lvlJc w:val="left"/>
      <w:rPr>
        <w:rFonts w:cs="Times New Roman"/>
      </w:rPr>
    </w:lvl>
  </w:abstractNum>
  <w:abstractNum w:abstractNumId="3" w15:restartNumberingAfterBreak="0">
    <w:nsid w:val="00000002"/>
    <w:multiLevelType w:val="multilevel"/>
    <w:tmpl w:val="816C7DEE"/>
    <w:lvl w:ilvl="0">
      <w:start w:val="1"/>
      <w:numFmt w:val="decimal"/>
      <w:lvlText w:val="%1"/>
      <w:lvlJc w:val="left"/>
      <w:pPr>
        <w:tabs>
          <w:tab w:val="num" w:pos="709"/>
        </w:tabs>
        <w:ind w:left="709" w:hanging="709"/>
      </w:pPr>
      <w:rPr>
        <w:rFonts w:cs="Times New Roman" w:hint="eastAsia"/>
        <w:b/>
      </w:rPr>
    </w:lvl>
    <w:lvl w:ilvl="1">
      <w:start w:val="1"/>
      <w:numFmt w:val="decimal"/>
      <w:pStyle w:val="Heading7"/>
      <w:lvlText w:val="%1.%2"/>
      <w:lvlJc w:val="left"/>
      <w:pPr>
        <w:tabs>
          <w:tab w:val="num" w:pos="709"/>
        </w:tabs>
        <w:ind w:left="709" w:hanging="709"/>
      </w:pPr>
      <w:rPr>
        <w:rFonts w:ascii="Trebuchet MS" w:hAnsi="Trebuchet MS" w:cs="Times New Roman" w:hint="default"/>
        <w:b w:val="0"/>
      </w:rPr>
    </w:lvl>
    <w:lvl w:ilvl="2">
      <w:start w:val="1"/>
      <w:numFmt w:val="none"/>
      <w:pStyle w:val="Heading8"/>
      <w:lvlText w:val="1.1"/>
      <w:lvlJc w:val="left"/>
      <w:pPr>
        <w:tabs>
          <w:tab w:val="num" w:pos="1417"/>
        </w:tabs>
        <w:ind w:left="1417" w:hanging="708"/>
      </w:pPr>
      <w:rPr>
        <w:rFonts w:ascii="Calibri" w:hAnsi="Calibri" w:cs="Times New Roman" w:hint="default"/>
      </w:rPr>
    </w:lvl>
    <w:lvl w:ilvl="3">
      <w:start w:val="1"/>
      <w:numFmt w:val="lowerRoman"/>
      <w:pStyle w:val="Heading9"/>
      <w:lvlText w:val="(%4)"/>
      <w:lvlJc w:val="left"/>
      <w:pPr>
        <w:tabs>
          <w:tab w:val="num" w:pos="2126"/>
        </w:tabs>
        <w:ind w:left="2126" w:hanging="709"/>
      </w:pPr>
      <w:rPr>
        <w:rFonts w:ascii="Trebuchet MS" w:hAnsi="Trebuchet MS" w:cs="Times New Roman" w:hint="default"/>
      </w:rPr>
    </w:lvl>
    <w:lvl w:ilvl="4">
      <w:start w:val="1"/>
      <w:numFmt w:val="upperLetter"/>
      <w:lvlText w:val="(%5)"/>
      <w:lvlJc w:val="left"/>
      <w:pPr>
        <w:tabs>
          <w:tab w:val="num" w:pos="2835"/>
        </w:tabs>
        <w:ind w:left="2835" w:hanging="709"/>
      </w:pPr>
      <w:rPr>
        <w:rFonts w:cs="Times New Roman" w:hint="eastAsia"/>
      </w:rPr>
    </w:lvl>
    <w:lvl w:ilvl="5">
      <w:start w:val="1"/>
      <w:numFmt w:val="decimal"/>
      <w:lvlText w:val="%6)"/>
      <w:lvlJc w:val="left"/>
      <w:pPr>
        <w:tabs>
          <w:tab w:val="num" w:pos="3543"/>
        </w:tabs>
        <w:ind w:left="3543" w:hanging="708"/>
      </w:pPr>
      <w:rPr>
        <w:rFonts w:cs="Times New Roman" w:hint="eastAsia"/>
      </w:rPr>
    </w:lvl>
    <w:lvl w:ilvl="6">
      <w:start w:val="1"/>
      <w:numFmt w:val="lowerLetter"/>
      <w:lvlText w:val="%7)"/>
      <w:lvlJc w:val="left"/>
      <w:pPr>
        <w:tabs>
          <w:tab w:val="num" w:pos="4252"/>
        </w:tabs>
        <w:ind w:left="4252" w:hanging="709"/>
      </w:pPr>
      <w:rPr>
        <w:rFonts w:cs="Times New Roman" w:hint="eastAsia"/>
      </w:rPr>
    </w:lvl>
    <w:lvl w:ilvl="7">
      <w:start w:val="1"/>
      <w:numFmt w:val="lowerRoman"/>
      <w:lvlText w:val="%8)"/>
      <w:lvlJc w:val="left"/>
      <w:pPr>
        <w:tabs>
          <w:tab w:val="num" w:pos="4961"/>
        </w:tabs>
        <w:ind w:left="4961" w:hanging="709"/>
      </w:pPr>
      <w:rPr>
        <w:rFonts w:cs="Times New Roman" w:hint="eastAsia"/>
      </w:rPr>
    </w:lvl>
    <w:lvl w:ilvl="8">
      <w:start w:val="1"/>
      <w:numFmt w:val="upperLetter"/>
      <w:lvlText w:val="%9)"/>
      <w:lvlJc w:val="left"/>
      <w:pPr>
        <w:tabs>
          <w:tab w:val="num" w:pos="5669"/>
        </w:tabs>
        <w:ind w:left="5669" w:hanging="708"/>
      </w:pPr>
      <w:rPr>
        <w:rFonts w:cs="Times New Roman" w:hint="eastAsia"/>
      </w:rPr>
    </w:lvl>
  </w:abstractNum>
  <w:abstractNum w:abstractNumId="4" w15:restartNumberingAfterBreak="0">
    <w:nsid w:val="00000003"/>
    <w:multiLevelType w:val="multilevel"/>
    <w:tmpl w:val="011CE31C"/>
    <w:lvl w:ilvl="0">
      <w:start w:val="1"/>
      <w:numFmt w:val="lowerLetter"/>
      <w:lvlRestart w:val="0"/>
      <w:lvlText w:val="(%1)"/>
      <w:lvlJc w:val="left"/>
      <w:pPr>
        <w:tabs>
          <w:tab w:val="num" w:pos="1800"/>
        </w:tabs>
        <w:ind w:left="1800" w:hanging="1080"/>
      </w:pPr>
      <w:rPr>
        <w:rFonts w:cs="Times New Roman"/>
        <w:caps w:val="0"/>
        <w:effect w:val="none"/>
      </w:rPr>
    </w:lvl>
    <w:lvl w:ilvl="1">
      <w:start w:val="1"/>
      <w:numFmt w:val="lowerRoman"/>
      <w:lvlText w:val="(%2)"/>
      <w:lvlJc w:val="left"/>
      <w:pPr>
        <w:tabs>
          <w:tab w:val="num" w:pos="1648"/>
        </w:tabs>
        <w:ind w:left="1648" w:hanging="1080"/>
      </w:pPr>
      <w:rPr>
        <w:rFonts w:cs="Times New Roman"/>
        <w:caps w:val="0"/>
        <w:effect w:val="none"/>
      </w:rPr>
    </w:lvl>
    <w:lvl w:ilvl="2">
      <w:start w:val="1"/>
      <w:numFmt w:val="none"/>
      <w:lvlText w:val=""/>
      <w:lvlJc w:val="left"/>
      <w:pPr>
        <w:tabs>
          <w:tab w:val="num" w:pos="2880"/>
        </w:tabs>
        <w:ind w:left="2880" w:hanging="1080"/>
      </w:pPr>
      <w:rPr>
        <w:rFonts w:cs="Times New Roman"/>
        <w:caps w:val="0"/>
        <w:effect w:val="none"/>
      </w:rPr>
    </w:lvl>
    <w:lvl w:ilvl="3">
      <w:start w:val="1"/>
      <w:numFmt w:val="none"/>
      <w:lvlText w:val=""/>
      <w:lvlJc w:val="left"/>
      <w:pPr>
        <w:tabs>
          <w:tab w:val="num" w:pos="2880"/>
        </w:tabs>
        <w:ind w:left="2880" w:hanging="1080"/>
      </w:pPr>
      <w:rPr>
        <w:rFonts w:cs="Times New Roman"/>
        <w:caps w:val="0"/>
        <w:effect w:val="none"/>
      </w:rPr>
    </w:lvl>
    <w:lvl w:ilvl="4">
      <w:start w:val="1"/>
      <w:numFmt w:val="none"/>
      <w:lvlText w:val=""/>
      <w:lvlJc w:val="left"/>
      <w:pPr>
        <w:tabs>
          <w:tab w:val="num" w:pos="2880"/>
        </w:tabs>
        <w:ind w:left="2880" w:hanging="1080"/>
      </w:pPr>
      <w:rPr>
        <w:rFonts w:cs="Times New Roman"/>
        <w:caps w:val="0"/>
        <w:effect w:val="none"/>
      </w:rPr>
    </w:lvl>
    <w:lvl w:ilvl="5">
      <w:start w:val="1"/>
      <w:numFmt w:val="none"/>
      <w:lvlText w:val=""/>
      <w:lvlJc w:val="left"/>
      <w:pPr>
        <w:tabs>
          <w:tab w:val="num" w:pos="2880"/>
        </w:tabs>
        <w:ind w:left="2880" w:hanging="1080"/>
      </w:pPr>
      <w:rPr>
        <w:rFonts w:cs="Times New Roman"/>
        <w:caps w:val="0"/>
        <w:effect w:val="none"/>
      </w:rPr>
    </w:lvl>
    <w:lvl w:ilvl="6">
      <w:start w:val="1"/>
      <w:numFmt w:val="none"/>
      <w:lvlText w:val=""/>
      <w:lvlJc w:val="left"/>
      <w:pPr>
        <w:tabs>
          <w:tab w:val="num" w:pos="2880"/>
        </w:tabs>
        <w:ind w:left="2880" w:hanging="1080"/>
      </w:pPr>
      <w:rPr>
        <w:rFonts w:cs="Times New Roman"/>
        <w:caps w:val="0"/>
        <w:effect w:val="none"/>
      </w:rPr>
    </w:lvl>
    <w:lvl w:ilvl="7">
      <w:start w:val="1"/>
      <w:numFmt w:val="none"/>
      <w:pStyle w:val="DefinitionNumbering8"/>
      <w:lvlText w:val=""/>
      <w:lvlJc w:val="left"/>
      <w:pPr>
        <w:tabs>
          <w:tab w:val="num" w:pos="2880"/>
        </w:tabs>
        <w:ind w:left="2880" w:hanging="1080"/>
      </w:pPr>
      <w:rPr>
        <w:rFonts w:cs="Times New Roman"/>
        <w:caps w:val="0"/>
        <w:effect w:val="none"/>
      </w:rPr>
    </w:lvl>
    <w:lvl w:ilvl="8">
      <w:start w:val="1"/>
      <w:numFmt w:val="none"/>
      <w:pStyle w:val="DefinitionNumbering9"/>
      <w:lvlText w:val=""/>
      <w:lvlJc w:val="left"/>
      <w:pPr>
        <w:tabs>
          <w:tab w:val="num" w:pos="2880"/>
        </w:tabs>
        <w:ind w:left="2880" w:hanging="1080"/>
      </w:pPr>
      <w:rPr>
        <w:rFonts w:cs="Times New Roman"/>
        <w:caps w:val="0"/>
        <w:effect w:val="none"/>
      </w:rPr>
    </w:lvl>
  </w:abstractNum>
  <w:abstractNum w:abstractNumId="5" w15:restartNumberingAfterBreak="0">
    <w:nsid w:val="00000004"/>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ascii="Calibri" w:hAnsi="Calibri" w:cs="Times New Roman" w:hint="default"/>
      </w:rPr>
    </w:lvl>
    <w:lvl w:ilvl="4">
      <w:start w:val="1"/>
      <w:numFmt w:val="lowerLetter"/>
      <w:lvlText w:val="(%5)"/>
      <w:lvlJc w:val="left"/>
      <w:pPr>
        <w:ind w:left="1800" w:hanging="360"/>
      </w:pPr>
      <w:rPr>
        <w:rFonts w:cs="Times New Roman" w:hint="eastAsia"/>
      </w:rPr>
    </w:lvl>
    <w:lvl w:ilvl="5">
      <w:start w:val="1"/>
      <w:numFmt w:val="lowerRoman"/>
      <w:lvlText w:val="(%6)"/>
      <w:lvlJc w:val="left"/>
      <w:pPr>
        <w:ind w:left="2160" w:hanging="360"/>
      </w:pPr>
      <w:rPr>
        <w:rFonts w:cs="Times New Roman" w:hint="eastAsia"/>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eastAsia"/>
      </w:rPr>
    </w:lvl>
    <w:lvl w:ilvl="8">
      <w:start w:val="1"/>
      <w:numFmt w:val="lowerRoman"/>
      <w:lvlText w:val="%9."/>
      <w:lvlJc w:val="left"/>
      <w:pPr>
        <w:ind w:left="3240" w:hanging="360"/>
      </w:pPr>
      <w:rPr>
        <w:rFonts w:cs="Times New Roman" w:hint="eastAsia"/>
      </w:rPr>
    </w:lvl>
  </w:abstractNum>
  <w:abstractNum w:abstractNumId="6" w15:restartNumberingAfterBreak="0">
    <w:nsid w:val="00000005"/>
    <w:multiLevelType w:val="multilevel"/>
    <w:tmpl w:val="1718421A"/>
    <w:name w:val="Plato Schedule Numbering List2"/>
    <w:lvl w:ilvl="0">
      <w:start w:val="1"/>
      <w:numFmt w:val="decimal"/>
      <w:lvlText w:val="%1"/>
      <w:lvlJc w:val="left"/>
      <w:pPr>
        <w:tabs>
          <w:tab w:val="num" w:pos="709"/>
        </w:tabs>
        <w:ind w:left="709" w:hanging="709"/>
      </w:pPr>
      <w:rPr>
        <w:rFonts w:cs="Times New Roman" w:hint="eastAsia"/>
        <w:b/>
      </w:rPr>
    </w:lvl>
    <w:lvl w:ilvl="1">
      <w:start w:val="1"/>
      <w:numFmt w:val="decimal"/>
      <w:lvlText w:val="%1.%2"/>
      <w:lvlJc w:val="left"/>
      <w:pPr>
        <w:tabs>
          <w:tab w:val="num" w:pos="709"/>
        </w:tabs>
        <w:ind w:left="709" w:hanging="709"/>
      </w:pPr>
      <w:rPr>
        <w:rFonts w:cs="Times New Roman" w:hint="eastAsia"/>
      </w:rPr>
    </w:lvl>
    <w:lvl w:ilvl="2">
      <w:start w:val="1"/>
      <w:numFmt w:val="lowerLetter"/>
      <w:lvlText w:val="(%3)"/>
      <w:lvlJc w:val="left"/>
      <w:pPr>
        <w:tabs>
          <w:tab w:val="num" w:pos="1417"/>
        </w:tabs>
        <w:ind w:left="1417" w:hanging="708"/>
      </w:pPr>
      <w:rPr>
        <w:rFonts w:cs="Times New Roman" w:hint="eastAsia"/>
      </w:rPr>
    </w:lvl>
    <w:lvl w:ilvl="3">
      <w:start w:val="1"/>
      <w:numFmt w:val="lowerRoman"/>
      <w:lvlText w:val="(%4)"/>
      <w:lvlJc w:val="left"/>
      <w:pPr>
        <w:tabs>
          <w:tab w:val="num" w:pos="2126"/>
        </w:tabs>
        <w:ind w:left="2126" w:hanging="709"/>
      </w:pPr>
      <w:rPr>
        <w:rFonts w:cs="Times New Roman" w:hint="eastAsia"/>
      </w:rPr>
    </w:lvl>
    <w:lvl w:ilvl="4">
      <w:start w:val="1"/>
      <w:numFmt w:val="upperLetter"/>
      <w:lvlText w:val="(%5)"/>
      <w:lvlJc w:val="left"/>
      <w:pPr>
        <w:tabs>
          <w:tab w:val="num" w:pos="2835"/>
        </w:tabs>
        <w:ind w:left="2835" w:hanging="709"/>
      </w:pPr>
      <w:rPr>
        <w:rFonts w:cs="Times New Roman" w:hint="eastAsia"/>
      </w:rPr>
    </w:lvl>
    <w:lvl w:ilvl="5">
      <w:start w:val="1"/>
      <w:numFmt w:val="decimal"/>
      <w:lvlText w:val="%6)"/>
      <w:lvlJc w:val="left"/>
      <w:pPr>
        <w:tabs>
          <w:tab w:val="num" w:pos="3543"/>
        </w:tabs>
        <w:ind w:left="3543" w:hanging="708"/>
      </w:pPr>
      <w:rPr>
        <w:rFonts w:cs="Times New Roman" w:hint="eastAsia"/>
      </w:rPr>
    </w:lvl>
    <w:lvl w:ilvl="6">
      <w:start w:val="1"/>
      <w:numFmt w:val="lowerLetter"/>
      <w:lvlText w:val="%7)"/>
      <w:lvlJc w:val="left"/>
      <w:pPr>
        <w:tabs>
          <w:tab w:val="num" w:pos="4252"/>
        </w:tabs>
        <w:ind w:left="4252" w:hanging="709"/>
      </w:pPr>
      <w:rPr>
        <w:rFonts w:cs="Times New Roman" w:hint="eastAsia"/>
      </w:rPr>
    </w:lvl>
    <w:lvl w:ilvl="7">
      <w:start w:val="1"/>
      <w:numFmt w:val="lowerRoman"/>
      <w:lvlText w:val="%8)"/>
      <w:lvlJc w:val="left"/>
      <w:pPr>
        <w:tabs>
          <w:tab w:val="num" w:pos="4961"/>
        </w:tabs>
        <w:ind w:left="4961" w:hanging="709"/>
      </w:pPr>
      <w:rPr>
        <w:rFonts w:cs="Times New Roman" w:hint="eastAsia"/>
      </w:rPr>
    </w:lvl>
    <w:lvl w:ilvl="8">
      <w:start w:val="1"/>
      <w:numFmt w:val="upperLetter"/>
      <w:lvlText w:val="%9)"/>
      <w:lvlJc w:val="left"/>
      <w:pPr>
        <w:tabs>
          <w:tab w:val="num" w:pos="5669"/>
        </w:tabs>
        <w:ind w:left="5669" w:hanging="708"/>
      </w:pPr>
      <w:rPr>
        <w:rFonts w:cs="Times New Roman" w:hint="eastAsia"/>
      </w:rPr>
    </w:lvl>
  </w:abstractNum>
  <w:abstractNum w:abstractNumId="7" w15:restartNumberingAfterBreak="0">
    <w:nsid w:val="00000006"/>
    <w:multiLevelType w:val="multilevel"/>
    <w:tmpl w:val="5D24AA2E"/>
    <w:lvl w:ilvl="0">
      <w:start w:val="1"/>
      <w:numFmt w:val="none"/>
      <w:lvlText w:val=""/>
      <w:lvlJc w:val="center"/>
      <w:pPr>
        <w:ind w:hanging="57"/>
      </w:pPr>
      <w:rPr>
        <w:rFonts w:ascii="Trebuchet MS" w:hAnsi="Trebuchet MS" w:cs="Times New Roman" w:hint="default"/>
      </w:rPr>
    </w:lvl>
    <w:lvl w:ilvl="1">
      <w:start w:val="1"/>
      <w:numFmt w:val="decimal"/>
      <w:pStyle w:val="Heading2"/>
      <w:lvlText w:val="%1%2"/>
      <w:lvlJc w:val="left"/>
      <w:pPr>
        <w:tabs>
          <w:tab w:val="num" w:pos="709"/>
        </w:tabs>
        <w:ind w:left="709" w:hanging="709"/>
      </w:pPr>
      <w:rPr>
        <w:rFonts w:ascii="Trebuchet MS" w:hAnsi="Trebuchet MS" w:cs="Times New Roman" w:hint="default"/>
        <w:b/>
      </w:rPr>
    </w:lvl>
    <w:lvl w:ilvl="2">
      <w:start w:val="1"/>
      <w:numFmt w:val="decimal"/>
      <w:pStyle w:val="Heading3"/>
      <w:lvlText w:val="%2.%3"/>
      <w:lvlJc w:val="left"/>
      <w:pPr>
        <w:tabs>
          <w:tab w:val="num" w:pos="709"/>
        </w:tabs>
        <w:ind w:left="709" w:hanging="709"/>
      </w:pPr>
      <w:rPr>
        <w:rFonts w:ascii="Calibri" w:hAnsi="Calibri" w:cs="Times New Roman" w:hint="default"/>
        <w:b w:val="0"/>
        <w:i w:val="0"/>
      </w:rPr>
    </w:lvl>
    <w:lvl w:ilvl="3">
      <w:start w:val="1"/>
      <w:numFmt w:val="lowerLetter"/>
      <w:pStyle w:val="Heading4"/>
      <w:lvlText w:val="(%4)"/>
      <w:lvlJc w:val="left"/>
      <w:pPr>
        <w:tabs>
          <w:tab w:val="num" w:pos="1418"/>
        </w:tabs>
        <w:ind w:left="1418" w:hanging="709"/>
      </w:pPr>
      <w:rPr>
        <w:rFonts w:ascii="Trebuchet MS" w:hAnsi="Trebuchet MS" w:cs="Times New Roman" w:hint="default"/>
      </w:rPr>
    </w:lvl>
    <w:lvl w:ilvl="4">
      <w:start w:val="1"/>
      <w:numFmt w:val="lowerRoman"/>
      <w:pStyle w:val="Heading5"/>
      <w:lvlText w:val="(%5)"/>
      <w:lvlJc w:val="left"/>
      <w:pPr>
        <w:tabs>
          <w:tab w:val="num" w:pos="1417"/>
        </w:tabs>
        <w:ind w:left="2125" w:hanging="708"/>
      </w:pPr>
      <w:rPr>
        <w:rFonts w:ascii="Trebuchet MS" w:hAnsi="Trebuchet MS" w:cs="Times New Roman"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cs="Times New Roman" w:hint="eastAsia"/>
      </w:rPr>
    </w:lvl>
    <w:lvl w:ilvl="7">
      <w:start w:val="1"/>
      <w:numFmt w:val="lowerRoman"/>
      <w:lvlText w:val="%8)"/>
      <w:lvlJc w:val="left"/>
      <w:pPr>
        <w:tabs>
          <w:tab w:val="num" w:pos="4961"/>
        </w:tabs>
        <w:ind w:left="4961" w:hanging="709"/>
      </w:pPr>
      <w:rPr>
        <w:rFonts w:cs="Times New Roman" w:hint="eastAsia"/>
      </w:rPr>
    </w:lvl>
    <w:lvl w:ilvl="8">
      <w:start w:val="1"/>
      <w:numFmt w:val="upperLetter"/>
      <w:lvlText w:val="%9)"/>
      <w:lvlJc w:val="left"/>
      <w:pPr>
        <w:tabs>
          <w:tab w:val="num" w:pos="4961"/>
        </w:tabs>
        <w:ind w:left="5669" w:hanging="708"/>
      </w:pPr>
      <w:rPr>
        <w:rFonts w:cs="Times New Roman" w:hint="eastAsia"/>
      </w:rPr>
    </w:lvl>
  </w:abstractNum>
  <w:abstractNum w:abstractNumId="8" w15:restartNumberingAfterBreak="0">
    <w:nsid w:val="00000007"/>
    <w:multiLevelType w:val="multilevel"/>
    <w:tmpl w:val="291A1D58"/>
    <w:name w:val="Plato Schedule Numbering List"/>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 w15:restartNumberingAfterBreak="0">
    <w:nsid w:val="00000008"/>
    <w:multiLevelType w:val="multilevel"/>
    <w:tmpl w:val="15D6069C"/>
    <w:lvl w:ilvl="0">
      <w:start w:val="1"/>
      <w:numFmt w:val="decimal"/>
      <w:lvlRestart w:val="0"/>
      <w:pStyle w:val="FFWLevel1"/>
      <w:isLgl/>
      <w:lvlText w:val="%1."/>
      <w:lvlJc w:val="left"/>
      <w:pPr>
        <w:tabs>
          <w:tab w:val="num" w:pos="794"/>
        </w:tabs>
        <w:ind w:left="794" w:hanging="794"/>
      </w:pPr>
      <w:rPr>
        <w:rFonts w:ascii="Arial" w:hAnsi="Arial" w:cs="Times New Roman"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FFWLevel3"/>
      <w:isLgl/>
      <w:lvlText w:val="%1.%2.%3"/>
      <w:lvlJc w:val="left"/>
      <w:pPr>
        <w:tabs>
          <w:tab w:val="num" w:pos="794"/>
        </w:tabs>
        <w:ind w:left="794" w:hanging="794"/>
      </w:pPr>
      <w:rPr>
        <w:rFonts w:ascii="Arial" w:hAnsi="Arial" w:cs="Times New Roman" w:hint="default"/>
        <w:b w:val="0"/>
      </w:rPr>
    </w:lvl>
    <w:lvl w:ilvl="3">
      <w:start w:val="1"/>
      <w:numFmt w:val="lowerLetter"/>
      <w:pStyle w:val="FFWLevel3"/>
      <w:lvlText w:val="(%4)"/>
      <w:lvlJc w:val="left"/>
      <w:pPr>
        <w:tabs>
          <w:tab w:val="num" w:pos="1587"/>
        </w:tabs>
        <w:ind w:left="1587" w:hanging="793"/>
      </w:pPr>
      <w:rPr>
        <w:rFonts w:ascii="Arial" w:hAnsi="Arial" w:cs="Times New Roman" w:hint="default"/>
        <w:b w:val="0"/>
        <w:i w:val="0"/>
      </w:rPr>
    </w:lvl>
    <w:lvl w:ilvl="4">
      <w:start w:val="1"/>
      <w:numFmt w:val="lowerRoman"/>
      <w:lvlText w:val="(%5)"/>
      <w:lvlJc w:val="left"/>
      <w:pPr>
        <w:tabs>
          <w:tab w:val="num" w:pos="2381"/>
        </w:tabs>
        <w:ind w:left="2381" w:hanging="794"/>
      </w:pPr>
      <w:rPr>
        <w:rFonts w:ascii="Trebuchet MS" w:hAnsi="Trebuchet MS" w:cs="Times New Roman" w:hint="default"/>
        <w:sz w:val="22"/>
        <w:szCs w:val="22"/>
      </w:rPr>
    </w:lvl>
    <w:lvl w:ilvl="5">
      <w:start w:val="1"/>
      <w:numFmt w:val="upperLetter"/>
      <w:pStyle w:val="FFWLevel6"/>
      <w:lvlText w:val="(%6)"/>
      <w:lvlJc w:val="left"/>
      <w:pPr>
        <w:tabs>
          <w:tab w:val="num" w:pos="3175"/>
        </w:tabs>
        <w:ind w:left="3175" w:hanging="794"/>
      </w:pPr>
      <w:rPr>
        <w:rFonts w:ascii="Arial" w:hAnsi="Arial" w:cs="Times New Roman" w:hint="default"/>
      </w:rPr>
    </w:lvl>
    <w:lvl w:ilvl="6">
      <w:start w:val="1"/>
      <w:numFmt w:val="none"/>
      <w:lvlText w:val="UNDEFINED"/>
      <w:lvlJc w:val="left"/>
      <w:pPr>
        <w:tabs>
          <w:tab w:val="num" w:pos="3969"/>
        </w:tabs>
        <w:ind w:left="3969" w:hanging="794"/>
      </w:pPr>
      <w:rPr>
        <w:rFonts w:cs="Times New Roman" w:hint="eastAsia"/>
      </w:rPr>
    </w:lvl>
    <w:lvl w:ilvl="7">
      <w:start w:val="1"/>
      <w:numFmt w:val="none"/>
      <w:lvlText w:val="UNDEFINED"/>
      <w:lvlJc w:val="left"/>
      <w:pPr>
        <w:tabs>
          <w:tab w:val="num" w:pos="4762"/>
        </w:tabs>
        <w:ind w:left="4762" w:hanging="793"/>
      </w:pPr>
      <w:rPr>
        <w:rFonts w:cs="Times New Roman" w:hint="eastAsia"/>
      </w:rPr>
    </w:lvl>
    <w:lvl w:ilvl="8">
      <w:start w:val="1"/>
      <w:numFmt w:val="none"/>
      <w:lvlText w:val="UNDEFINED"/>
      <w:lvlJc w:val="left"/>
      <w:pPr>
        <w:tabs>
          <w:tab w:val="num" w:pos="5556"/>
        </w:tabs>
        <w:ind w:left="5556" w:hanging="794"/>
      </w:pPr>
      <w:rPr>
        <w:rFonts w:cs="Times New Roman" w:hint="eastAsia"/>
      </w:rPr>
    </w:lvl>
  </w:abstractNum>
  <w:abstractNum w:abstractNumId="10" w15:restartNumberingAfterBreak="0">
    <w:nsid w:val="00000009"/>
    <w:multiLevelType w:val="multilevel"/>
    <w:tmpl w:val="271487DC"/>
    <w:lvl w:ilvl="0">
      <w:start w:val="1"/>
      <w:numFmt w:val="decimal"/>
      <w:lvlRestart w:val="0"/>
      <w:pStyle w:val="ScheduleL1"/>
      <w:lvlText w:val="%1."/>
      <w:lvlJc w:val="left"/>
      <w:pPr>
        <w:tabs>
          <w:tab w:val="num" w:pos="720"/>
        </w:tabs>
        <w:ind w:left="720" w:hanging="720"/>
      </w:pPr>
      <w:rPr>
        <w:rFonts w:ascii="Calibri" w:hAnsi="Calibri" w:cs="Times New Roman" w:hint="default"/>
        <w:caps w:val="0"/>
        <w:effect w:val="none"/>
      </w:rPr>
    </w:lvl>
    <w:lvl w:ilvl="1">
      <w:start w:val="1"/>
      <w:numFmt w:val="decimal"/>
      <w:pStyle w:val="ScheduleL2"/>
      <w:lvlText w:val="%1.%2"/>
      <w:lvlJc w:val="left"/>
      <w:pPr>
        <w:tabs>
          <w:tab w:val="num" w:pos="720"/>
        </w:tabs>
        <w:ind w:left="720" w:hanging="720"/>
      </w:pPr>
      <w:rPr>
        <w:rFonts w:ascii="Calibri" w:hAnsi="Calibri" w:cs="Times New Roman" w:hint="default"/>
        <w:caps w:val="0"/>
        <w:effect w:val="none"/>
      </w:rPr>
    </w:lvl>
    <w:lvl w:ilvl="2">
      <w:start w:val="1"/>
      <w:numFmt w:val="decimal"/>
      <w:pStyle w:val="ScheduleL3"/>
      <w:lvlText w:val="%1.%2.%3"/>
      <w:lvlJc w:val="left"/>
      <w:pPr>
        <w:tabs>
          <w:tab w:val="num" w:pos="1800"/>
        </w:tabs>
        <w:ind w:left="1800" w:hanging="1080"/>
      </w:pPr>
      <w:rPr>
        <w:rFonts w:ascii="Calibri" w:hAnsi="Calibri" w:cs="Times New Roman" w:hint="default"/>
        <w:caps w:val="0"/>
        <w:effect w:val="none"/>
      </w:rPr>
    </w:lvl>
    <w:lvl w:ilvl="3">
      <w:start w:val="1"/>
      <w:numFmt w:val="lowerLetter"/>
      <w:pStyle w:val="ScheduleL4"/>
      <w:lvlText w:val="(%4)"/>
      <w:lvlJc w:val="left"/>
      <w:pPr>
        <w:tabs>
          <w:tab w:val="num" w:pos="2880"/>
        </w:tabs>
        <w:ind w:left="2880" w:hanging="1080"/>
      </w:pPr>
      <w:rPr>
        <w:rFonts w:ascii="Calibri" w:hAnsi="Calibri" w:cs="Times New Roman" w:hint="default"/>
        <w:caps w:val="0"/>
        <w:effect w:val="none"/>
      </w:rPr>
    </w:lvl>
    <w:lvl w:ilvl="4">
      <w:start w:val="1"/>
      <w:numFmt w:val="lowerLetter"/>
      <w:pStyle w:val="ScheduleL5"/>
      <w:lvlText w:val="(%5)"/>
      <w:lvlJc w:val="left"/>
      <w:pPr>
        <w:tabs>
          <w:tab w:val="num" w:pos="3600"/>
        </w:tabs>
        <w:ind w:left="3600" w:hanging="720"/>
      </w:pPr>
      <w:rPr>
        <w:rFonts w:cs="Times New Roman" w:hint="eastAsia"/>
        <w:caps w:val="0"/>
        <w:effect w:val="none"/>
      </w:rPr>
    </w:lvl>
    <w:lvl w:ilvl="5">
      <w:start w:val="1"/>
      <w:numFmt w:val="lowerRoman"/>
      <w:pStyle w:val="ScheduleL6"/>
      <w:lvlText w:val="(%6)"/>
      <w:lvlJc w:val="left"/>
      <w:pPr>
        <w:tabs>
          <w:tab w:val="num" w:pos="4320"/>
        </w:tabs>
        <w:ind w:left="4320" w:hanging="720"/>
      </w:pPr>
      <w:rPr>
        <w:rFonts w:cs="Times New Roman" w:hint="eastAsia"/>
        <w:caps w:val="0"/>
        <w:effect w:val="none"/>
      </w:rPr>
    </w:lvl>
    <w:lvl w:ilvl="6">
      <w:start w:val="1"/>
      <w:numFmt w:val="decimal"/>
      <w:pStyle w:val="ScheduleL7"/>
      <w:lvlText w:val="(%7)"/>
      <w:lvlJc w:val="left"/>
      <w:pPr>
        <w:tabs>
          <w:tab w:val="num" w:pos="5040"/>
        </w:tabs>
        <w:ind w:left="5040" w:hanging="720"/>
      </w:pPr>
      <w:rPr>
        <w:rFonts w:cs="Times New Roman" w:hint="eastAsia"/>
        <w:caps w:val="0"/>
        <w:effect w:val="none"/>
      </w:rPr>
    </w:lvl>
    <w:lvl w:ilvl="7">
      <w:start w:val="1"/>
      <w:numFmt w:val="none"/>
      <w:pStyle w:val="ScheduleL8"/>
      <w:lvlText w:val=""/>
      <w:lvlJc w:val="left"/>
      <w:pPr>
        <w:tabs>
          <w:tab w:val="num" w:pos="5040"/>
        </w:tabs>
        <w:ind w:left="5040" w:hanging="720"/>
      </w:pPr>
      <w:rPr>
        <w:rFonts w:cs="Times New Roman" w:hint="eastAsia"/>
        <w:caps w:val="0"/>
        <w:effect w:val="none"/>
      </w:rPr>
    </w:lvl>
    <w:lvl w:ilvl="8">
      <w:start w:val="1"/>
      <w:numFmt w:val="none"/>
      <w:pStyle w:val="ScheduleL9"/>
      <w:lvlText w:val=""/>
      <w:lvlJc w:val="left"/>
      <w:pPr>
        <w:tabs>
          <w:tab w:val="num" w:pos="5040"/>
        </w:tabs>
        <w:ind w:left="5040" w:hanging="720"/>
      </w:pPr>
      <w:rPr>
        <w:rFonts w:cs="Times New Roman" w:hint="eastAsia"/>
        <w:caps w:val="0"/>
        <w:effect w:val="none"/>
      </w:rPr>
    </w:lvl>
  </w:abstractNum>
  <w:abstractNum w:abstractNumId="11" w15:restartNumberingAfterBreak="0">
    <w:nsid w:val="0000000A"/>
    <w:multiLevelType w:val="multilevel"/>
    <w:tmpl w:val="EA9859F6"/>
    <w:lvl w:ilvl="0">
      <w:start w:val="1"/>
      <w:numFmt w:val="lowerLetter"/>
      <w:lvlRestart w:val="0"/>
      <w:pStyle w:val="FFWDefinitionColumnLevel1"/>
      <w:lvlText w:val="(%1)"/>
      <w:lvlJc w:val="left"/>
      <w:pPr>
        <w:tabs>
          <w:tab w:val="num" w:pos="4762"/>
        </w:tabs>
        <w:ind w:left="4762" w:hanging="793"/>
      </w:pPr>
      <w:rPr>
        <w:rFonts w:ascii="Arial" w:hAnsi="Arial" w:cs="Times New Roman"/>
      </w:rPr>
    </w:lvl>
    <w:lvl w:ilvl="1">
      <w:start w:val="1"/>
      <w:numFmt w:val="lowerRoman"/>
      <w:pStyle w:val="FFWDefinitionColumnLevel2"/>
      <w:lvlText w:val="(%2)"/>
      <w:lvlJc w:val="left"/>
      <w:pPr>
        <w:tabs>
          <w:tab w:val="num" w:pos="5556"/>
        </w:tabs>
        <w:ind w:left="5556" w:hanging="794"/>
      </w:pPr>
      <w:rPr>
        <w:rFonts w:ascii="Arial" w:hAnsi="Arial" w:cs="Times New Roman"/>
      </w:rPr>
    </w:lvl>
    <w:lvl w:ilvl="2">
      <w:start w:val="1"/>
      <w:numFmt w:val="none"/>
      <w:lvlText w:val=""/>
      <w:lvlJc w:val="left"/>
      <w:pPr>
        <w:tabs>
          <w:tab w:val="num" w:pos="5556"/>
        </w:tabs>
        <w:ind w:left="5556" w:hanging="794"/>
      </w:pPr>
      <w:rPr>
        <w:rFonts w:cs="Times New Roman"/>
      </w:rPr>
    </w:lvl>
    <w:lvl w:ilvl="3">
      <w:start w:val="1"/>
      <w:numFmt w:val="none"/>
      <w:lvlText w:val=""/>
      <w:lvlJc w:val="left"/>
      <w:pPr>
        <w:tabs>
          <w:tab w:val="num" w:pos="5556"/>
        </w:tabs>
        <w:ind w:left="5556" w:hanging="794"/>
      </w:pPr>
      <w:rPr>
        <w:rFonts w:cs="Times New Roman"/>
      </w:rPr>
    </w:lvl>
    <w:lvl w:ilvl="4">
      <w:start w:val="1"/>
      <w:numFmt w:val="none"/>
      <w:lvlText w:val=""/>
      <w:lvlJc w:val="left"/>
      <w:pPr>
        <w:tabs>
          <w:tab w:val="num" w:pos="5556"/>
        </w:tabs>
        <w:ind w:left="5556" w:hanging="794"/>
      </w:pPr>
      <w:rPr>
        <w:rFonts w:cs="Times New Roman"/>
      </w:rPr>
    </w:lvl>
    <w:lvl w:ilvl="5">
      <w:start w:val="1"/>
      <w:numFmt w:val="none"/>
      <w:lvlText w:val=""/>
      <w:lvlJc w:val="left"/>
      <w:pPr>
        <w:tabs>
          <w:tab w:val="num" w:pos="5556"/>
        </w:tabs>
        <w:ind w:left="5556" w:hanging="794"/>
      </w:pPr>
      <w:rPr>
        <w:rFonts w:cs="Times New Roman"/>
      </w:rPr>
    </w:lvl>
    <w:lvl w:ilvl="6">
      <w:start w:val="1"/>
      <w:numFmt w:val="none"/>
      <w:lvlText w:val=""/>
      <w:lvlJc w:val="left"/>
      <w:pPr>
        <w:tabs>
          <w:tab w:val="num" w:pos="5556"/>
        </w:tabs>
        <w:ind w:left="5556" w:hanging="794"/>
      </w:pPr>
      <w:rPr>
        <w:rFonts w:cs="Times New Roman"/>
      </w:rPr>
    </w:lvl>
    <w:lvl w:ilvl="7">
      <w:start w:val="1"/>
      <w:numFmt w:val="none"/>
      <w:lvlText w:val=""/>
      <w:lvlJc w:val="left"/>
      <w:pPr>
        <w:tabs>
          <w:tab w:val="num" w:pos="5556"/>
        </w:tabs>
        <w:ind w:left="5556" w:hanging="794"/>
      </w:pPr>
      <w:rPr>
        <w:rFonts w:cs="Times New Roman"/>
      </w:rPr>
    </w:lvl>
    <w:lvl w:ilvl="8">
      <w:start w:val="1"/>
      <w:numFmt w:val="none"/>
      <w:lvlText w:val=""/>
      <w:lvlJc w:val="left"/>
      <w:pPr>
        <w:tabs>
          <w:tab w:val="num" w:pos="5556"/>
        </w:tabs>
        <w:ind w:left="5556" w:hanging="794"/>
      </w:pPr>
      <w:rPr>
        <w:rFonts w:cs="Times New Roman"/>
      </w:rPr>
    </w:lvl>
  </w:abstractNum>
  <w:abstractNum w:abstractNumId="12" w15:restartNumberingAfterBreak="0">
    <w:nsid w:val="0000000B"/>
    <w:multiLevelType w:val="hybridMultilevel"/>
    <w:tmpl w:val="2DEAC7C8"/>
    <w:lvl w:ilvl="0" w:tplc="639833B2">
      <w:start w:val="1"/>
      <w:numFmt w:val="bullet"/>
      <w:pStyle w:val="ListBullet2"/>
      <w:lvlText w:val="-"/>
      <w:lvlJc w:val="left"/>
      <w:pPr>
        <w:tabs>
          <w:tab w:val="num" w:pos="1440"/>
        </w:tabs>
        <w:ind w:left="1440" w:hanging="720"/>
      </w:pPr>
      <w:rPr>
        <w:rFonts w:hint="eastAsia"/>
      </w:rPr>
    </w:lvl>
    <w:lvl w:ilvl="1" w:tplc="9EDCEBD0">
      <w:start w:val="1"/>
      <w:numFmt w:val="bullet"/>
      <w:lvlText w:val="o"/>
      <w:lvlJc w:val="left"/>
      <w:pPr>
        <w:tabs>
          <w:tab w:val="num" w:pos="1440"/>
        </w:tabs>
        <w:ind w:left="1440" w:hanging="360"/>
      </w:pPr>
      <w:rPr>
        <w:rFonts w:ascii="Courier New" w:hAnsi="Courier New" w:hint="default"/>
      </w:rPr>
    </w:lvl>
    <w:lvl w:ilvl="2" w:tplc="2BF84746">
      <w:start w:val="1"/>
      <w:numFmt w:val="bullet"/>
      <w:lvlText w:val=""/>
      <w:lvlJc w:val="left"/>
      <w:pPr>
        <w:tabs>
          <w:tab w:val="num" w:pos="2160"/>
        </w:tabs>
        <w:ind w:left="2160" w:hanging="360"/>
      </w:pPr>
      <w:rPr>
        <w:rFonts w:ascii="Wingdings" w:hAnsi="Wingdings" w:hint="default"/>
      </w:rPr>
    </w:lvl>
    <w:lvl w:ilvl="3" w:tplc="BD7CF3C8">
      <w:start w:val="1"/>
      <w:numFmt w:val="bullet"/>
      <w:lvlText w:val=""/>
      <w:lvlJc w:val="left"/>
      <w:pPr>
        <w:tabs>
          <w:tab w:val="num" w:pos="2880"/>
        </w:tabs>
        <w:ind w:left="2880" w:hanging="360"/>
      </w:pPr>
      <w:rPr>
        <w:rFonts w:ascii="Symbol" w:hAnsi="Symbol" w:hint="default"/>
      </w:rPr>
    </w:lvl>
    <w:lvl w:ilvl="4" w:tplc="FF90C7BA">
      <w:start w:val="1"/>
      <w:numFmt w:val="bullet"/>
      <w:lvlText w:val="o"/>
      <w:lvlJc w:val="left"/>
      <w:pPr>
        <w:tabs>
          <w:tab w:val="num" w:pos="3600"/>
        </w:tabs>
        <w:ind w:left="3600" w:hanging="360"/>
      </w:pPr>
      <w:rPr>
        <w:rFonts w:ascii="Courier New" w:hAnsi="Courier New" w:hint="default"/>
      </w:rPr>
    </w:lvl>
    <w:lvl w:ilvl="5" w:tplc="DD50E026">
      <w:start w:val="1"/>
      <w:numFmt w:val="bullet"/>
      <w:lvlText w:val=""/>
      <w:lvlJc w:val="left"/>
      <w:pPr>
        <w:tabs>
          <w:tab w:val="num" w:pos="4320"/>
        </w:tabs>
        <w:ind w:left="4320" w:hanging="360"/>
      </w:pPr>
      <w:rPr>
        <w:rFonts w:ascii="Wingdings" w:hAnsi="Wingdings" w:hint="default"/>
      </w:rPr>
    </w:lvl>
    <w:lvl w:ilvl="6" w:tplc="AE44F4D8">
      <w:start w:val="1"/>
      <w:numFmt w:val="bullet"/>
      <w:lvlText w:val=""/>
      <w:lvlJc w:val="left"/>
      <w:pPr>
        <w:tabs>
          <w:tab w:val="num" w:pos="5040"/>
        </w:tabs>
        <w:ind w:left="5040" w:hanging="360"/>
      </w:pPr>
      <w:rPr>
        <w:rFonts w:ascii="Symbol" w:hAnsi="Symbol" w:hint="default"/>
      </w:rPr>
    </w:lvl>
    <w:lvl w:ilvl="7" w:tplc="B6880524">
      <w:start w:val="1"/>
      <w:numFmt w:val="bullet"/>
      <w:lvlText w:val="o"/>
      <w:lvlJc w:val="left"/>
      <w:pPr>
        <w:tabs>
          <w:tab w:val="num" w:pos="5760"/>
        </w:tabs>
        <w:ind w:left="5760" w:hanging="360"/>
      </w:pPr>
      <w:rPr>
        <w:rFonts w:ascii="Courier New" w:hAnsi="Courier New" w:hint="default"/>
      </w:rPr>
    </w:lvl>
    <w:lvl w:ilvl="8" w:tplc="A3C2E2B6">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000000C"/>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ascii="Arial" w:hAnsi="Arial" w:cs="Times New Roman" w:hint="default"/>
        <w:sz w:val="22"/>
      </w:rPr>
    </w:lvl>
    <w:lvl w:ilvl="2">
      <w:start w:val="1"/>
      <w:numFmt w:val="decimal"/>
      <w:pStyle w:val="MOJLevel2"/>
      <w:lvlText w:val="%1%2.%3."/>
      <w:lvlJc w:val="left"/>
      <w:pPr>
        <w:tabs>
          <w:tab w:val="num" w:pos="720"/>
        </w:tabs>
        <w:ind w:left="720" w:hanging="720"/>
      </w:pPr>
      <w:rPr>
        <w:rFonts w:ascii="Arial" w:hAnsi="Arial" w:cs="Times New Roman" w:hint="default"/>
      </w:rPr>
    </w:lvl>
    <w:lvl w:ilvl="3">
      <w:start w:val="1"/>
      <w:numFmt w:val="decimal"/>
      <w:pStyle w:val="MOJLevel3"/>
      <w:lvlText w:val="%1%2.%3.%4."/>
      <w:lvlJc w:val="left"/>
      <w:pPr>
        <w:tabs>
          <w:tab w:val="num" w:pos="902"/>
        </w:tabs>
        <w:ind w:left="902" w:hanging="182"/>
      </w:pPr>
      <w:rPr>
        <w:rFonts w:ascii="Arial" w:hAnsi="Arial" w:cs="Times New Roman" w:hint="default"/>
      </w:rPr>
    </w:lvl>
    <w:lvl w:ilvl="4">
      <w:start w:val="1"/>
      <w:numFmt w:val="decimal"/>
      <w:pStyle w:val="MOJLevel4"/>
      <w:lvlText w:val="%1%2.%3.%4.%5."/>
      <w:lvlJc w:val="left"/>
      <w:pPr>
        <w:tabs>
          <w:tab w:val="num" w:pos="1259"/>
        </w:tabs>
        <w:ind w:left="1259" w:firstLine="363"/>
      </w:pPr>
      <w:rPr>
        <w:rFonts w:ascii="Arial" w:hAnsi="Arial" w:cs="Times New Roman" w:hint="default"/>
      </w:rPr>
    </w:lvl>
    <w:lvl w:ilvl="5">
      <w:start w:val="1"/>
      <w:numFmt w:val="decimal"/>
      <w:lvlText w:val="%1%2.%3.%4.%5.%6."/>
      <w:lvlJc w:val="left"/>
      <w:pPr>
        <w:tabs>
          <w:tab w:val="num" w:pos="2736"/>
        </w:tabs>
        <w:ind w:left="2736" w:hanging="936"/>
      </w:pPr>
      <w:rPr>
        <w:rFonts w:cs="Times New Roman" w:hint="eastAsia"/>
      </w:rPr>
    </w:lvl>
    <w:lvl w:ilvl="6">
      <w:start w:val="1"/>
      <w:numFmt w:val="decimal"/>
      <w:lvlText w:val="%1%2.%3.%4.%5.%6.%7."/>
      <w:lvlJc w:val="left"/>
      <w:pPr>
        <w:tabs>
          <w:tab w:val="num" w:pos="3240"/>
        </w:tabs>
        <w:ind w:left="3240" w:hanging="1080"/>
      </w:pPr>
      <w:rPr>
        <w:rFonts w:cs="Times New Roman" w:hint="eastAsia"/>
      </w:rPr>
    </w:lvl>
    <w:lvl w:ilvl="7">
      <w:start w:val="1"/>
      <w:numFmt w:val="decimal"/>
      <w:lvlText w:val="%1%2.%3.%4.%5.%6.%7.%8."/>
      <w:lvlJc w:val="left"/>
      <w:pPr>
        <w:tabs>
          <w:tab w:val="num" w:pos="3744"/>
        </w:tabs>
        <w:ind w:left="3744" w:hanging="1224"/>
      </w:pPr>
      <w:rPr>
        <w:rFonts w:cs="Times New Roman" w:hint="eastAsia"/>
      </w:rPr>
    </w:lvl>
    <w:lvl w:ilvl="8">
      <w:start w:val="1"/>
      <w:numFmt w:val="decimal"/>
      <w:lvlText w:val="%1%2.%3.%4.%5.%6.%7.%8.%9."/>
      <w:lvlJc w:val="left"/>
      <w:pPr>
        <w:tabs>
          <w:tab w:val="num" w:pos="4320"/>
        </w:tabs>
        <w:ind w:left="4320" w:hanging="1440"/>
      </w:pPr>
      <w:rPr>
        <w:rFonts w:cs="Times New Roman" w:hint="eastAsia"/>
      </w:rPr>
    </w:lvl>
  </w:abstractNum>
  <w:abstractNum w:abstractNumId="14" w15:restartNumberingAfterBreak="0">
    <w:nsid w:val="0000000D"/>
    <w:multiLevelType w:val="multilevel"/>
    <w:tmpl w:val="F93868D0"/>
    <w:lvl w:ilvl="0">
      <w:start w:val="1"/>
      <w:numFmt w:val="lowerLetter"/>
      <w:lvlRestart w:val="0"/>
      <w:pStyle w:val="FFWDefinitionLevel1"/>
      <w:lvlText w:val="(%1)"/>
      <w:lvlJc w:val="left"/>
      <w:pPr>
        <w:tabs>
          <w:tab w:val="num" w:pos="793"/>
        </w:tabs>
        <w:ind w:left="793" w:hanging="793"/>
      </w:pPr>
      <w:rPr>
        <w:rFonts w:ascii="Arial" w:hAnsi="Arial" w:cs="Times New Roman"/>
        <w:b w:val="0"/>
        <w:i w:val="0"/>
      </w:rPr>
    </w:lvl>
    <w:lvl w:ilvl="1">
      <w:start w:val="1"/>
      <w:numFmt w:val="lowerRoman"/>
      <w:lvlText w:val="(%2)"/>
      <w:lvlJc w:val="left"/>
      <w:pPr>
        <w:tabs>
          <w:tab w:val="num" w:pos="1587"/>
        </w:tabs>
        <w:ind w:left="1587" w:hanging="794"/>
      </w:pPr>
      <w:rPr>
        <w:rFonts w:cs="Times New Roman"/>
      </w:rPr>
    </w:lvl>
    <w:lvl w:ilvl="2">
      <w:start w:val="1"/>
      <w:numFmt w:val="none"/>
      <w:lvlText w:val=""/>
      <w:lvlJc w:val="left"/>
      <w:pPr>
        <w:tabs>
          <w:tab w:val="num" w:pos="1587"/>
        </w:tabs>
        <w:ind w:left="1587" w:hanging="794"/>
      </w:pPr>
      <w:rPr>
        <w:rFonts w:cs="Times New Roman"/>
      </w:rPr>
    </w:lvl>
    <w:lvl w:ilvl="3">
      <w:start w:val="1"/>
      <w:numFmt w:val="none"/>
      <w:lvlText w:val=""/>
      <w:lvlJc w:val="left"/>
      <w:pPr>
        <w:tabs>
          <w:tab w:val="num" w:pos="1587"/>
        </w:tabs>
        <w:ind w:left="1587" w:hanging="794"/>
      </w:pPr>
      <w:rPr>
        <w:rFonts w:cs="Times New Roman"/>
      </w:rPr>
    </w:lvl>
    <w:lvl w:ilvl="4">
      <w:start w:val="1"/>
      <w:numFmt w:val="none"/>
      <w:lvlText w:val=""/>
      <w:lvlJc w:val="left"/>
      <w:pPr>
        <w:tabs>
          <w:tab w:val="num" w:pos="1587"/>
        </w:tabs>
        <w:ind w:left="1587" w:hanging="794"/>
      </w:pPr>
      <w:rPr>
        <w:rFonts w:cs="Times New Roman"/>
      </w:rPr>
    </w:lvl>
    <w:lvl w:ilvl="5">
      <w:start w:val="1"/>
      <w:numFmt w:val="none"/>
      <w:lvlText w:val=""/>
      <w:lvlJc w:val="left"/>
      <w:pPr>
        <w:tabs>
          <w:tab w:val="num" w:pos="1587"/>
        </w:tabs>
        <w:ind w:left="1587" w:hanging="794"/>
      </w:pPr>
      <w:rPr>
        <w:rFonts w:cs="Times New Roman"/>
      </w:rPr>
    </w:lvl>
    <w:lvl w:ilvl="6">
      <w:start w:val="1"/>
      <w:numFmt w:val="none"/>
      <w:lvlText w:val=""/>
      <w:lvlJc w:val="left"/>
      <w:pPr>
        <w:tabs>
          <w:tab w:val="num" w:pos="1587"/>
        </w:tabs>
        <w:ind w:left="1587" w:hanging="794"/>
      </w:pPr>
      <w:rPr>
        <w:rFonts w:cs="Times New Roman"/>
      </w:rPr>
    </w:lvl>
    <w:lvl w:ilvl="7">
      <w:start w:val="1"/>
      <w:numFmt w:val="none"/>
      <w:lvlText w:val=""/>
      <w:lvlJc w:val="left"/>
      <w:pPr>
        <w:tabs>
          <w:tab w:val="num" w:pos="1587"/>
        </w:tabs>
        <w:ind w:left="1587" w:hanging="794"/>
      </w:pPr>
      <w:rPr>
        <w:rFonts w:cs="Times New Roman"/>
      </w:rPr>
    </w:lvl>
    <w:lvl w:ilvl="8">
      <w:start w:val="1"/>
      <w:numFmt w:val="none"/>
      <w:lvlText w:val=""/>
      <w:lvlJc w:val="left"/>
      <w:pPr>
        <w:tabs>
          <w:tab w:val="num" w:pos="1587"/>
        </w:tabs>
        <w:ind w:left="1587" w:hanging="794"/>
      </w:pPr>
      <w:rPr>
        <w:rFonts w:cs="Times New Roman"/>
      </w:rPr>
    </w:lvl>
  </w:abstractNum>
  <w:abstractNum w:abstractNumId="15" w15:restartNumberingAfterBreak="0">
    <w:nsid w:val="0000000E"/>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start w:val="1"/>
      <w:numFmt w:val="bullet"/>
      <w:lvlText w:val=""/>
      <w:lvlJc w:val="left"/>
      <w:pPr>
        <w:tabs>
          <w:tab w:val="num" w:pos="2880"/>
        </w:tabs>
        <w:ind w:left="2880" w:hanging="360"/>
      </w:pPr>
      <w:rPr>
        <w:rFonts w:ascii="Symbol" w:hAnsi="Symbol" w:hint="default"/>
      </w:rPr>
    </w:lvl>
    <w:lvl w:ilvl="4" w:tplc="1C7E5AEA">
      <w:start w:val="1"/>
      <w:numFmt w:val="bullet"/>
      <w:lvlText w:val="o"/>
      <w:lvlJc w:val="left"/>
      <w:pPr>
        <w:tabs>
          <w:tab w:val="num" w:pos="3600"/>
        </w:tabs>
        <w:ind w:left="3600" w:hanging="360"/>
      </w:pPr>
      <w:rPr>
        <w:rFonts w:ascii="Courier New" w:hAnsi="Courier New" w:hint="default"/>
      </w:rPr>
    </w:lvl>
    <w:lvl w:ilvl="5" w:tplc="431AC7F0">
      <w:start w:val="1"/>
      <w:numFmt w:val="bullet"/>
      <w:lvlText w:val=""/>
      <w:lvlJc w:val="left"/>
      <w:pPr>
        <w:tabs>
          <w:tab w:val="num" w:pos="4320"/>
        </w:tabs>
        <w:ind w:left="4320" w:hanging="360"/>
      </w:pPr>
      <w:rPr>
        <w:rFonts w:ascii="Wingdings" w:hAnsi="Wingdings" w:hint="default"/>
      </w:rPr>
    </w:lvl>
    <w:lvl w:ilvl="6" w:tplc="C816A210">
      <w:start w:val="1"/>
      <w:numFmt w:val="bullet"/>
      <w:lvlText w:val=""/>
      <w:lvlJc w:val="left"/>
      <w:pPr>
        <w:tabs>
          <w:tab w:val="num" w:pos="5040"/>
        </w:tabs>
        <w:ind w:left="5040" w:hanging="360"/>
      </w:pPr>
      <w:rPr>
        <w:rFonts w:ascii="Symbol" w:hAnsi="Symbol" w:hint="default"/>
      </w:rPr>
    </w:lvl>
    <w:lvl w:ilvl="7" w:tplc="F07E9BF8">
      <w:start w:val="1"/>
      <w:numFmt w:val="bullet"/>
      <w:lvlText w:val="o"/>
      <w:lvlJc w:val="left"/>
      <w:pPr>
        <w:tabs>
          <w:tab w:val="num" w:pos="5760"/>
        </w:tabs>
        <w:ind w:left="5760" w:hanging="360"/>
      </w:pPr>
      <w:rPr>
        <w:rFonts w:ascii="Courier New" w:hAnsi="Courier New" w:hint="default"/>
      </w:rPr>
    </w:lvl>
    <w:lvl w:ilvl="8" w:tplc="2A4ABD6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000000F"/>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cs="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cs="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cs="Times New Roman" w:hint="default"/>
        <w:b w:val="0"/>
        <w:i w:val="0"/>
        <w:sz w:val="22"/>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rPr>
        <w:rFonts w:cs="Times New Roman" w:hint="eastAsia"/>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7" w15:restartNumberingAfterBreak="0">
    <w:nsid w:val="00000010"/>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18" w15:restartNumberingAfterBreak="0">
    <w:nsid w:val="00000011"/>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19" w15:restartNumberingAfterBreak="0">
    <w:nsid w:val="00000012"/>
    <w:multiLevelType w:val="multilevel"/>
    <w:tmpl w:val="8B34D584"/>
    <w:name w:val="sch_style1"/>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0" w15:restartNumberingAfterBreak="0">
    <w:nsid w:val="00000013"/>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21" w15:restartNumberingAfterBreak="0">
    <w:nsid w:val="00000014"/>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22" w15:restartNumberingAfterBreak="0">
    <w:nsid w:val="00000015"/>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Calibri" w:hAnsi="Calibri" w:cs="Times New Roman"/>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rFonts w:ascii="Calibri" w:hAnsi="Calibri" w:cs="Times New Roman"/>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eastAsia"/>
      </w:rPr>
    </w:lvl>
    <w:lvl w:ilvl="7">
      <w:start w:val="1"/>
      <w:numFmt w:val="decimal"/>
      <w:isLgl/>
      <w:lvlText w:val="%1.%2.%3.%4.%5.%6.%7.%8"/>
      <w:lvlJc w:val="left"/>
      <w:pPr>
        <w:ind w:left="1800" w:hanging="1440"/>
      </w:pPr>
      <w:rPr>
        <w:rFonts w:cs="Times New Roman" w:hint="eastAsia"/>
      </w:rPr>
    </w:lvl>
    <w:lvl w:ilvl="8">
      <w:start w:val="1"/>
      <w:numFmt w:val="decimal"/>
      <w:isLgl/>
      <w:lvlText w:val="%1.%2.%3.%4.%5.%6.%7.%8.%9"/>
      <w:lvlJc w:val="left"/>
      <w:pPr>
        <w:ind w:left="2160" w:hanging="1800"/>
      </w:pPr>
      <w:rPr>
        <w:rFonts w:cs="Times New Roman" w:hint="eastAsia"/>
      </w:rPr>
    </w:lvl>
  </w:abstractNum>
  <w:abstractNum w:abstractNumId="23" w15:restartNumberingAfterBreak="0">
    <w:nsid w:val="1B8D3388"/>
    <w:multiLevelType w:val="hybridMultilevel"/>
    <w:tmpl w:val="5C14C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lvlOverride w:ilvl="0">
      <w:lvl w:ilvl="0">
        <w:start w:val="1"/>
        <w:numFmt w:val="bullet"/>
        <w:lvlText w:val=""/>
        <w:legacy w:legacy="1" w:legacySpace="0" w:legacyIndent="720"/>
        <w:lvlJc w:val="left"/>
        <w:pPr>
          <w:ind w:left="720" w:hanging="720"/>
        </w:pPr>
        <w:rPr>
          <w:rFonts w:ascii="Symbol" w:hAnsi="Symbol" w:hint="default"/>
        </w:rPr>
      </w:lvl>
    </w:lvlOverride>
  </w:num>
  <w:num w:numId="5">
    <w:abstractNumId w:val="15"/>
  </w:num>
  <w:num w:numId="6">
    <w:abstractNumId w:val="12"/>
  </w:num>
  <w:num w:numId="7">
    <w:abstractNumId w:val="13"/>
  </w:num>
  <w:num w:numId="8">
    <w:abstractNumId w:val="4"/>
  </w:num>
  <w:num w:numId="9">
    <w:abstractNumId w:val="16"/>
  </w:num>
  <w:num w:numId="10">
    <w:abstractNumId w:val="9"/>
  </w:num>
  <w:num w:numId="11">
    <w:abstractNumId w:val="11"/>
  </w:num>
  <w:num w:numId="12">
    <w:abstractNumId w:val="14"/>
  </w:num>
  <w:num w:numId="13">
    <w:abstractNumId w:val="20"/>
  </w:num>
  <w:num w:numId="14">
    <w:abstractNumId w:val="7"/>
  </w:num>
  <w:num w:numId="15">
    <w:abstractNumId w:val="5"/>
  </w:num>
  <w:num w:numId="16">
    <w:abstractNumId w:val="22"/>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3"/>
  </w:num>
  <w:num w:numId="30">
    <w:abstractNumId w:val="23"/>
    <w:lvlOverride w:ilvl="0">
      <w:lvl w:ilvl="0" w:tplc="08090001">
        <w:start w:val="1"/>
        <w:numFmt w:val="bullet"/>
        <w:lvlText w:val=""/>
        <w:lvlJc w:val="left"/>
        <w:pPr>
          <w:ind w:left="720" w:hanging="360"/>
        </w:pPr>
        <w:rPr>
          <w:rFonts w:ascii="Symbol" w:hAnsi="Symbol" w:hint="default"/>
          <w:color w:val="auto"/>
          <w:u w:val="none"/>
        </w:rPr>
      </w:lvl>
    </w:lvlOverride>
    <w:lvlOverride w:ilvl="1">
      <w:lvl w:ilvl="1" w:tplc="08090003">
        <w:start w:val="1"/>
        <w:numFmt w:val="bullet"/>
        <w:lvlText w:val="o"/>
        <w:lvlJc w:val="left"/>
        <w:pPr>
          <w:ind w:left="1440" w:hanging="360"/>
        </w:pPr>
        <w:rPr>
          <w:rFonts w:ascii="Courier New" w:hAnsi="Courier New" w:hint="default"/>
          <w:color w:val="0000FF"/>
          <w:u w:val="double"/>
        </w:rPr>
      </w:lvl>
    </w:lvlOverride>
    <w:lvlOverride w:ilvl="2">
      <w:lvl w:ilvl="2" w:tplc="08090005">
        <w:start w:val="1"/>
        <w:numFmt w:val="bullet"/>
        <w:lvlText w:val=""/>
        <w:lvlJc w:val="left"/>
        <w:pPr>
          <w:ind w:left="2160" w:hanging="360"/>
        </w:pPr>
        <w:rPr>
          <w:rFonts w:ascii="Wingdings" w:hAnsi="Wingdings" w:hint="default"/>
          <w:color w:val="0000FF"/>
          <w:u w:val="double"/>
        </w:rPr>
      </w:lvl>
    </w:lvlOverride>
    <w:lvlOverride w:ilvl="3">
      <w:lvl w:ilvl="3" w:tplc="08090001">
        <w:start w:val="1"/>
        <w:numFmt w:val="bullet"/>
        <w:lvlText w:val=""/>
        <w:lvlJc w:val="left"/>
        <w:pPr>
          <w:ind w:left="2880" w:hanging="360"/>
        </w:pPr>
        <w:rPr>
          <w:rFonts w:ascii="Symbol" w:hAnsi="Symbol" w:hint="default"/>
          <w:color w:val="0000FF"/>
          <w:u w:val="double"/>
        </w:rPr>
      </w:lvl>
    </w:lvlOverride>
    <w:lvlOverride w:ilvl="4">
      <w:lvl w:ilvl="4" w:tplc="08090003">
        <w:start w:val="1"/>
        <w:numFmt w:val="bullet"/>
        <w:lvlText w:val="o"/>
        <w:lvlJc w:val="left"/>
        <w:pPr>
          <w:ind w:left="3600" w:hanging="360"/>
        </w:pPr>
        <w:rPr>
          <w:rFonts w:ascii="Courier New" w:hAnsi="Courier New" w:hint="default"/>
          <w:color w:val="0000FF"/>
          <w:u w:val="double"/>
        </w:rPr>
      </w:lvl>
    </w:lvlOverride>
    <w:lvlOverride w:ilvl="5">
      <w:lvl w:ilvl="5" w:tplc="08090005">
        <w:start w:val="1"/>
        <w:numFmt w:val="bullet"/>
        <w:lvlText w:val=""/>
        <w:lvlJc w:val="left"/>
        <w:pPr>
          <w:ind w:left="4320" w:hanging="360"/>
        </w:pPr>
        <w:rPr>
          <w:rFonts w:ascii="Wingdings" w:hAnsi="Wingdings" w:hint="default"/>
          <w:color w:val="0000FF"/>
          <w:u w:val="double"/>
        </w:rPr>
      </w:lvl>
    </w:lvlOverride>
    <w:lvlOverride w:ilvl="6">
      <w:lvl w:ilvl="6" w:tplc="08090001">
        <w:start w:val="1"/>
        <w:numFmt w:val="bullet"/>
        <w:lvlText w:val=""/>
        <w:lvlJc w:val="left"/>
        <w:pPr>
          <w:ind w:left="5040" w:hanging="360"/>
        </w:pPr>
        <w:rPr>
          <w:rFonts w:ascii="Symbol" w:hAnsi="Symbol" w:hint="default"/>
          <w:color w:val="0000FF"/>
          <w:u w:val="double"/>
        </w:rPr>
      </w:lvl>
    </w:lvlOverride>
    <w:lvlOverride w:ilvl="7">
      <w:lvl w:ilvl="7" w:tplc="08090003">
        <w:start w:val="1"/>
        <w:numFmt w:val="bullet"/>
        <w:lvlText w:val="o"/>
        <w:lvlJc w:val="left"/>
        <w:pPr>
          <w:ind w:left="5760" w:hanging="360"/>
        </w:pPr>
        <w:rPr>
          <w:rFonts w:ascii="Courier New" w:hAnsi="Courier New" w:hint="default"/>
          <w:color w:val="0000FF"/>
          <w:u w:val="double"/>
        </w:rPr>
      </w:lvl>
    </w:lvlOverride>
    <w:lvlOverride w:ilvl="8">
      <w:lvl w:ilvl="8" w:tplc="08090005">
        <w:start w:val="1"/>
        <w:numFmt w:val="bullet"/>
        <w:lvlText w:val=""/>
        <w:lvlJc w:val="left"/>
        <w:pPr>
          <w:ind w:left="6480" w:hanging="360"/>
        </w:pPr>
        <w:rPr>
          <w:rFonts w:ascii="Wingdings" w:hAnsi="Wingdings" w:hint="default"/>
          <w:color w:val="0000FF"/>
          <w:u w:val="double"/>
        </w:rPr>
      </w:lvl>
    </w:lvlOverride>
  </w:num>
  <w:num w:numId="31">
    <w:abstractNumId w:val="10"/>
    <w:lvlOverride w:ilvl="0">
      <w:lvl w:ilvl="0">
        <w:start w:val="1"/>
        <w:numFmt w:val="decimal"/>
        <w:lvlRestart w:val="0"/>
        <w:pStyle w:val="ScheduleL1"/>
        <w:lvlText w:val="%1."/>
        <w:lvlJc w:val="left"/>
        <w:pPr>
          <w:tabs>
            <w:tab w:val="num" w:pos="720"/>
          </w:tabs>
          <w:ind w:left="720" w:hanging="720"/>
        </w:pPr>
        <w:rPr>
          <w:rFonts w:ascii="Calibri" w:hAnsi="Calibri" w:cs="Times New Roman" w:hint="default"/>
          <w:caps w:val="0"/>
          <w:color w:val="auto"/>
          <w:u w:val="none"/>
          <w:effect w:val="none"/>
        </w:rPr>
      </w:lvl>
    </w:lvlOverride>
    <w:lvlOverride w:ilvl="1">
      <w:lvl w:ilvl="1">
        <w:start w:val="1"/>
        <w:numFmt w:val="decimal"/>
        <w:pStyle w:val="ScheduleL2"/>
        <w:lvlText w:val="%1.%2"/>
        <w:lvlJc w:val="left"/>
        <w:pPr>
          <w:tabs>
            <w:tab w:val="num" w:pos="720"/>
          </w:tabs>
          <w:ind w:left="720" w:hanging="720"/>
        </w:pPr>
        <w:rPr>
          <w:rFonts w:ascii="Calibri" w:hAnsi="Calibri" w:cs="Times New Roman" w:hint="default"/>
          <w:caps w:val="0"/>
          <w:color w:val="auto"/>
          <w:u w:val="none"/>
          <w:effect w:val="none"/>
        </w:rPr>
      </w:lvl>
    </w:lvlOverride>
    <w:lvlOverride w:ilvl="2">
      <w:lvl w:ilvl="2">
        <w:start w:val="1"/>
        <w:numFmt w:val="decimal"/>
        <w:pStyle w:val="ScheduleL3"/>
        <w:lvlText w:val="%1.%2.%3"/>
        <w:lvlJc w:val="left"/>
        <w:pPr>
          <w:tabs>
            <w:tab w:val="num" w:pos="1800"/>
          </w:tabs>
          <w:ind w:left="1800" w:hanging="1080"/>
        </w:pPr>
        <w:rPr>
          <w:rFonts w:ascii="Calibri" w:hAnsi="Calibri" w:cs="Times New Roman" w:hint="default"/>
          <w:caps w:val="0"/>
          <w:color w:val="auto"/>
          <w:u w:val="none"/>
          <w:effect w:val="none"/>
        </w:rPr>
      </w:lvl>
    </w:lvlOverride>
    <w:lvlOverride w:ilvl="3">
      <w:lvl w:ilvl="3">
        <w:start w:val="1"/>
        <w:numFmt w:val="lowerLetter"/>
        <w:pStyle w:val="ScheduleL4"/>
        <w:lvlText w:val="(%4)"/>
        <w:lvlJc w:val="left"/>
        <w:pPr>
          <w:tabs>
            <w:tab w:val="num" w:pos="2880"/>
          </w:tabs>
          <w:ind w:left="2880" w:hanging="1080"/>
        </w:pPr>
        <w:rPr>
          <w:rFonts w:ascii="Calibri" w:hAnsi="Calibri" w:cs="Times New Roman" w:hint="default"/>
          <w:caps w:val="0"/>
          <w:color w:val="auto"/>
          <w:u w:val="none"/>
          <w:effect w:val="none"/>
        </w:rPr>
      </w:lvl>
    </w:lvlOverride>
    <w:lvlOverride w:ilvl="4">
      <w:lvl w:ilvl="4">
        <w:start w:val="1"/>
        <w:numFmt w:val="lowerLetter"/>
        <w:pStyle w:val="ScheduleL5"/>
        <w:lvlText w:val="(%5)"/>
        <w:lvlJc w:val="left"/>
        <w:pPr>
          <w:tabs>
            <w:tab w:val="num" w:pos="3600"/>
          </w:tabs>
          <w:ind w:left="3600" w:hanging="720"/>
        </w:pPr>
        <w:rPr>
          <w:rFonts w:cs="Times New Roman" w:hint="eastAsia"/>
          <w:caps w:val="0"/>
          <w:color w:val="auto"/>
          <w:u w:val="none"/>
          <w:effect w:val="none"/>
        </w:rPr>
      </w:lvl>
    </w:lvlOverride>
    <w:lvlOverride w:ilvl="5">
      <w:lvl w:ilvl="5">
        <w:start w:val="1"/>
        <w:numFmt w:val="lowerRoman"/>
        <w:pStyle w:val="ScheduleL6"/>
        <w:lvlText w:val="(%6)"/>
        <w:lvlJc w:val="left"/>
        <w:pPr>
          <w:tabs>
            <w:tab w:val="num" w:pos="4320"/>
          </w:tabs>
          <w:ind w:left="4320" w:hanging="720"/>
        </w:pPr>
        <w:rPr>
          <w:rFonts w:cs="Times New Roman" w:hint="eastAsia"/>
          <w:caps w:val="0"/>
          <w:color w:val="auto"/>
          <w:u w:val="none"/>
          <w:effect w:val="none"/>
        </w:rPr>
      </w:lvl>
    </w:lvlOverride>
    <w:lvlOverride w:ilvl="6">
      <w:lvl w:ilvl="6">
        <w:start w:val="1"/>
        <w:numFmt w:val="decimal"/>
        <w:pStyle w:val="ScheduleL7"/>
        <w:lvlText w:val="(%7)"/>
        <w:lvlJc w:val="left"/>
        <w:pPr>
          <w:tabs>
            <w:tab w:val="num" w:pos="5040"/>
          </w:tabs>
          <w:ind w:left="5040" w:hanging="720"/>
        </w:pPr>
        <w:rPr>
          <w:rFonts w:cs="Times New Roman" w:hint="eastAsia"/>
          <w:caps w:val="0"/>
          <w:color w:val="0000FF"/>
          <w:u w:val="double"/>
          <w:effect w:val="none"/>
        </w:rPr>
      </w:lvl>
    </w:lvlOverride>
    <w:lvlOverride w:ilvl="7">
      <w:lvl w:ilvl="7">
        <w:start w:val="1"/>
        <w:numFmt w:val="none"/>
        <w:pStyle w:val="ScheduleL8"/>
        <w:lvlText w:val=""/>
        <w:lvlJc w:val="left"/>
        <w:pPr>
          <w:tabs>
            <w:tab w:val="num" w:pos="5040"/>
          </w:tabs>
          <w:ind w:left="5040" w:hanging="720"/>
        </w:pPr>
        <w:rPr>
          <w:rFonts w:cs="Times New Roman" w:hint="eastAsia"/>
          <w:caps w:val="0"/>
          <w:color w:val="0000FF"/>
          <w:u w:val="double"/>
          <w:effect w:val="none"/>
        </w:rPr>
      </w:lvl>
    </w:lvlOverride>
    <w:lvlOverride w:ilvl="8">
      <w:lvl w:ilvl="8">
        <w:start w:val="1"/>
        <w:numFmt w:val="none"/>
        <w:pStyle w:val="ScheduleL9"/>
        <w:lvlText w:val=""/>
        <w:lvlJc w:val="left"/>
        <w:pPr>
          <w:tabs>
            <w:tab w:val="num" w:pos="5040"/>
          </w:tabs>
          <w:ind w:left="5040" w:hanging="720"/>
        </w:pPr>
        <w:rPr>
          <w:rFonts w:cs="Times New Roman" w:hint="eastAsia"/>
          <w:caps w:val="0"/>
          <w:color w:val="0000FF"/>
          <w:u w:val="double"/>
          <w:effect w:val="none"/>
        </w:rPr>
      </w:lvl>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7AE"/>
    <w:rsid w:val="00002F67"/>
    <w:rsid w:val="00003323"/>
    <w:rsid w:val="000033D7"/>
    <w:rsid w:val="000252EB"/>
    <w:rsid w:val="00060C3A"/>
    <w:rsid w:val="001030DF"/>
    <w:rsid w:val="001A79C2"/>
    <w:rsid w:val="001C0139"/>
    <w:rsid w:val="00252EF4"/>
    <w:rsid w:val="00275740"/>
    <w:rsid w:val="002F0E0B"/>
    <w:rsid w:val="0034122F"/>
    <w:rsid w:val="0034688C"/>
    <w:rsid w:val="003E0F28"/>
    <w:rsid w:val="00452610"/>
    <w:rsid w:val="004C0C57"/>
    <w:rsid w:val="004C71BA"/>
    <w:rsid w:val="00516401"/>
    <w:rsid w:val="005B615C"/>
    <w:rsid w:val="005C20FA"/>
    <w:rsid w:val="005C2849"/>
    <w:rsid w:val="005F5F72"/>
    <w:rsid w:val="006606E6"/>
    <w:rsid w:val="006A07EC"/>
    <w:rsid w:val="00881E8E"/>
    <w:rsid w:val="009740E1"/>
    <w:rsid w:val="009E4F9B"/>
    <w:rsid w:val="009E51CD"/>
    <w:rsid w:val="009E51EF"/>
    <w:rsid w:val="009E7793"/>
    <w:rsid w:val="00A20D12"/>
    <w:rsid w:val="00A6787E"/>
    <w:rsid w:val="00A84B58"/>
    <w:rsid w:val="00A91BC9"/>
    <w:rsid w:val="00A930DA"/>
    <w:rsid w:val="00AC16F2"/>
    <w:rsid w:val="00B03800"/>
    <w:rsid w:val="00B11F8A"/>
    <w:rsid w:val="00B226CD"/>
    <w:rsid w:val="00C67728"/>
    <w:rsid w:val="00C70910"/>
    <w:rsid w:val="00D24C27"/>
    <w:rsid w:val="00D42233"/>
    <w:rsid w:val="00D53763"/>
    <w:rsid w:val="00D607AE"/>
    <w:rsid w:val="00D83CD5"/>
    <w:rsid w:val="00DA2D4A"/>
    <w:rsid w:val="00EF5C52"/>
    <w:rsid w:val="00F04DF0"/>
    <w:rsid w:val="00F10D4E"/>
    <w:rsid w:val="00F5127F"/>
    <w:rsid w:val="00F51A0C"/>
    <w:rsid w:val="00F766FF"/>
    <w:rsid w:val="00FA7BFC"/>
    <w:rsid w:val="00FD13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024994"/>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40"/>
      <w:jc w:val="both"/>
    </w:pPr>
    <w:rPr>
      <w:rFonts w:cs="Arial"/>
      <w:sz w:val="22"/>
      <w:szCs w:val="22"/>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
    <w:basedOn w:val="Normal"/>
    <w:next w:val="Normal"/>
    <w:link w:val="Heading1Char"/>
    <w:uiPriority w:val="99"/>
    <w:qFormat/>
    <w:pPr>
      <w:keepNext/>
      <w:spacing w:after="0"/>
      <w:jc w:val="left"/>
      <w:outlineLvl w:val="0"/>
    </w:pPr>
    <w:rPr>
      <w:rFonts w:ascii="Times New Roman" w:hAnsi="Times New Roman" w:cs="Times New Roman"/>
      <w:i/>
      <w:sz w:val="18"/>
      <w:szCs w:val="24"/>
      <w:lang w:val="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numPr>
        <w:ilvl w:val="1"/>
        <w:numId w:val="14"/>
      </w:numPr>
      <w:outlineLvl w:val="1"/>
    </w:pPr>
    <w:rPr>
      <w:rFonts w:ascii="Trebuchet MS" w:hAnsi="Trebuchet MS"/>
      <w:b/>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
    <w:basedOn w:val="Normal"/>
    <w:next w:val="Normal"/>
    <w:link w:val="Heading3Char"/>
    <w:uiPriority w:val="9"/>
    <w:qFormat/>
    <w:pPr>
      <w:keepLines/>
      <w:numPr>
        <w:ilvl w:val="2"/>
        <w:numId w:val="14"/>
      </w:numPr>
      <w:outlineLvl w:val="2"/>
    </w:pPr>
    <w:rPr>
      <w:rFonts w:ascii="Trebuchet MS" w:hAnsi="Trebuchet M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
    <w:basedOn w:val="Heading3"/>
    <w:next w:val="Normal"/>
    <w:link w:val="Heading4Char"/>
    <w:uiPriority w:val="9"/>
    <w:qFormat/>
    <w:pPr>
      <w:numPr>
        <w:ilvl w:val="3"/>
      </w:numPr>
      <w:tabs>
        <w:tab w:val="num" w:pos="1587"/>
      </w:tabs>
      <w:ind w:hanging="794"/>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
    <w:basedOn w:val="Heading4"/>
    <w:next w:val="Normal"/>
    <w:link w:val="Heading5Char"/>
    <w:uiPriority w:val="9"/>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qFormat/>
    <w:pPr>
      <w:keepLines w:val="0"/>
      <w:numPr>
        <w:ilvl w:val="0"/>
        <w:numId w:val="0"/>
      </w:numPr>
      <w:spacing w:line="360" w:lineRule="auto"/>
      <w:outlineLvl w:val="5"/>
    </w:pPr>
    <w:rPr>
      <w:rFonts w:ascii="Times New Roman" w:hAnsi="Times New Roman"/>
      <w:szCs w:val="20"/>
    </w:rPr>
  </w:style>
  <w:style w:type="paragraph" w:styleId="Heading7">
    <w:name w:val="heading 7"/>
    <w:aliases w:val="3AP,Heading 7(unused),Legal Level 1.1.,L2 PIP,Lev 7,H7DO NOT USE,PA Appendix Major,Blank 3,Heading 7 (Do Not Use),Appendix Major"/>
    <w:basedOn w:val="Normal"/>
    <w:next w:val="Normal"/>
    <w:link w:val="Heading7Char"/>
    <w:uiPriority w:val="9"/>
    <w:qFormat/>
    <w:pPr>
      <w:numPr>
        <w:ilvl w:val="1"/>
        <w:numId w:val="3"/>
      </w:numPr>
      <w:outlineLvl w:val="6"/>
    </w:pPr>
    <w:rPr>
      <w:rFonts w:ascii="Trebuchet MS" w:hAnsi="Trebuchet MS"/>
    </w:rPr>
  </w:style>
  <w:style w:type="paragraph" w:styleId="Heading8">
    <w:name w:val="heading 8"/>
    <w:aliases w:val="4AP,Legal Level 1.1.1.,Lev 8,h8 DO NOT USE,PA Appendix Minor,Blank 4,h8,Heading 8 (Do Not Use),Appendix Minor"/>
    <w:basedOn w:val="Normal"/>
    <w:next w:val="Normal"/>
    <w:link w:val="Heading8Char"/>
    <w:uiPriority w:val="9"/>
    <w:qFormat/>
    <w:pPr>
      <w:numPr>
        <w:ilvl w:val="2"/>
        <w:numId w:val="3"/>
      </w:numPr>
      <w:outlineLvl w:val="7"/>
    </w:pPr>
    <w:rPr>
      <w:rFonts w:ascii="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uiPriority w:val="9"/>
    <w:qFormat/>
    <w:pPr>
      <w:numPr>
        <w:ilvl w:val="3"/>
        <w:numId w:val="3"/>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Cambria" w:eastAsia="Times New Roman" w:hAnsi="Cambria" w:cs="Times New Roman"/>
      <w:b/>
      <w:bCs/>
      <w:kern w:val="32"/>
      <w:sz w:val="32"/>
      <w:szCs w:val="32"/>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Times New Roman" w:hAnsi="Trebuchet MS" w:cs="Arial"/>
      <w:b/>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Times New Roman" w:hAnsi="Trebuchet MS" w:cs="Arial"/>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9"/>
    <w:rPr>
      <w:rFonts w:ascii="Trebuchet MS" w:eastAsia="Times New Roman" w:hAnsi="Trebuchet MS" w:cs="Arial"/>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l Char"/>
    <w:link w:val="Heading5"/>
    <w:uiPriority w:val="9"/>
    <w:rPr>
      <w:rFonts w:ascii="Trebuchet MS" w:eastAsia="Times New Roman" w:hAnsi="Trebuchet MS" w:cs="Arial"/>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uiPriority w:val="9"/>
    <w:rPr>
      <w:rFonts w:ascii="Times New Roman" w:hAnsi="Times New Roman"/>
      <w:sz w:val="22"/>
      <w:lang w:val="x-none"/>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uiPriority w:val="9"/>
    <w:rPr>
      <w:rFonts w:ascii="Trebuchet MS" w:eastAsia="Times New Roman" w:hAnsi="Trebuchet MS" w:cs="Arial"/>
    </w:rPr>
  </w:style>
  <w:style w:type="character" w:customStyle="1" w:styleId="Heading8Char">
    <w:name w:val="Heading 8 Char"/>
    <w:aliases w:val="4AP Char,Legal Level 1.1.1. Char,Lev 8 Char,h8 DO NOT USE Char,PA Appendix Minor Char,Blank 4 Char,h8 Char,Heading 8 (Do Not Use) Char,Appendix Minor Char"/>
    <w:link w:val="Heading8"/>
    <w:uiPriority w:val="9"/>
    <w:rPr>
      <w:rFonts w:ascii="Trebuchet MS" w:eastAsia="Times New Roman" w:hAnsi="Trebuchet MS" w:cs="Arial"/>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uiPriority w:val="9"/>
    <w:rPr>
      <w:rFonts w:ascii="Trebuchet MS" w:eastAsia="Times New Roman" w:hAnsi="Trebuchet MS" w:cs="Arial"/>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rPr>
      <w:rFonts w:ascii="Trebuchet MS" w:hAnsi="Trebuchet MS"/>
      <w:b/>
      <w:caps/>
      <w:sz w:val="22"/>
      <w:lang w:val="x-none"/>
    </w:rPr>
  </w:style>
  <w:style w:type="paragraph" w:customStyle="1" w:styleId="MarginText">
    <w:name w:val="Margin Text"/>
    <w:basedOn w:val="BodyText"/>
    <w:pPr>
      <w:spacing w:after="240"/>
      <w:ind w:left="709"/>
    </w:pPr>
    <w:rPr>
      <w:rFonts w:ascii="Trebuchet MS" w:hAnsi="Trebuchet MS"/>
    </w:rPr>
  </w:style>
  <w:style w:type="character" w:customStyle="1" w:styleId="MarginTextChar">
    <w:name w:val="Margin Text Char"/>
    <w:rPr>
      <w:rFonts w:ascii="Trebuchet MS" w:eastAsia="Times New Roman" w:hAnsi="Trebuchet MS"/>
      <w:sz w:val="22"/>
      <w:lang w:val="x-none"/>
    </w:rPr>
  </w:style>
  <w:style w:type="paragraph" w:styleId="Footer">
    <w:name w:val="footer"/>
    <w:basedOn w:val="Normal"/>
    <w:link w:val="FooterChar"/>
    <w:uiPriority w:val="99"/>
    <w:pPr>
      <w:tabs>
        <w:tab w:val="center" w:pos="4513"/>
        <w:tab w:val="right" w:pos="9026"/>
      </w:tabs>
      <w:spacing w:after="0"/>
    </w:pPr>
  </w:style>
  <w:style w:type="character" w:customStyle="1" w:styleId="FooterChar">
    <w:name w:val="Footer Char"/>
    <w:link w:val="Footer"/>
    <w:uiPriority w:val="99"/>
    <w:rPr>
      <w:rFonts w:eastAsia="Times New Roman"/>
      <w:sz w:val="22"/>
      <w:lang w:val="x-none"/>
    </w:rPr>
  </w:style>
  <w:style w:type="paragraph" w:styleId="BodyTextIndent">
    <w:name w:val="Body Text Indent"/>
    <w:basedOn w:val="Normal"/>
    <w:link w:val="BodyTextIndentChar"/>
    <w:uiPriority w:val="99"/>
    <w:pPr>
      <w:ind w:left="720"/>
    </w:pPr>
    <w:rPr>
      <w:rFonts w:ascii="Trebuchet MS" w:hAnsi="Trebuchet MS"/>
    </w:rPr>
  </w:style>
  <w:style w:type="character" w:customStyle="1" w:styleId="BodyTextIndentChar">
    <w:name w:val="Body Text Indent Char"/>
    <w:link w:val="BodyTextIndent"/>
    <w:uiPriority w:val="99"/>
    <w:rPr>
      <w:rFonts w:ascii="Trebuchet MS" w:eastAsia="Times New Roman" w:hAnsi="Trebuchet MS"/>
      <w:sz w:val="22"/>
      <w:lang w:val="x-none"/>
    </w:rPr>
  </w:style>
  <w:style w:type="paragraph" w:styleId="BodyTextIndent2">
    <w:name w:val="Body Text Indent 2"/>
    <w:basedOn w:val="Normal"/>
    <w:link w:val="BodyTextIndent2Char"/>
    <w:uiPriority w:val="99"/>
    <w:pPr>
      <w:ind w:left="1440"/>
    </w:pPr>
    <w:rPr>
      <w:rFonts w:ascii="Trebuchet MS" w:hAnsi="Trebuchet MS"/>
    </w:rPr>
  </w:style>
  <w:style w:type="character" w:customStyle="1" w:styleId="BodyTextIndent2Char">
    <w:name w:val="Body Text Indent 2 Char"/>
    <w:link w:val="BodyTextIndent2"/>
    <w:uiPriority w:val="99"/>
    <w:rPr>
      <w:rFonts w:ascii="Trebuchet MS" w:eastAsia="Times New Roman" w:hAnsi="Trebuchet MS"/>
      <w:sz w:val="22"/>
      <w:lang w:val="x-none"/>
    </w:rPr>
  </w:style>
  <w:style w:type="character" w:styleId="PageNumber">
    <w:name w:val="page number"/>
    <w:basedOn w:val="DefaultParagraphFont"/>
    <w:uiPriority w:val="99"/>
  </w:style>
  <w:style w:type="paragraph" w:styleId="Header">
    <w:name w:val="header"/>
    <w:basedOn w:val="Normal"/>
    <w:link w:val="HeaderChar"/>
    <w:uiPriority w:val="99"/>
    <w:pPr>
      <w:tabs>
        <w:tab w:val="center" w:pos="4513"/>
        <w:tab w:val="right" w:pos="9026"/>
      </w:tabs>
      <w:spacing w:after="0"/>
    </w:pPr>
  </w:style>
  <w:style w:type="character" w:customStyle="1" w:styleId="HeaderChar">
    <w:name w:val="Header Char"/>
    <w:link w:val="Header"/>
    <w:uiPriority w:val="99"/>
    <w:rPr>
      <w:rFonts w:eastAsia="Times New Roman"/>
      <w:sz w:val="22"/>
      <w:lang w:val="x-none"/>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qFormat/>
    <w:rPr>
      <w:rFonts w:ascii="Arial" w:eastAsia="STZhongsong" w:hAnsi="Arial"/>
      <w:b/>
      <w:i/>
      <w:color w:val="000000"/>
      <w:sz w:val="20"/>
      <w:szCs w:val="24"/>
    </w:rPr>
  </w:style>
  <w:style w:type="character" w:customStyle="1" w:styleId="GuidancenoteparagraphtextChar">
    <w:name w:val="Guidance note paragraph text Char"/>
    <w:rPr>
      <w:rFonts w:ascii="Arial" w:eastAsia="STZhongsong" w:hAnsi="Arial"/>
      <w:b/>
      <w:i/>
      <w:color w:val="000000"/>
      <w:sz w:val="24"/>
      <w:lang w:val="x-none"/>
    </w:rPr>
  </w:style>
  <w:style w:type="paragraph" w:customStyle="1" w:styleId="PartDes">
    <w:name w:val="PartDes"/>
    <w:basedOn w:val="Normal"/>
    <w:qFormat/>
    <w:pPr>
      <w:spacing w:before="120" w:after="120"/>
      <w:jc w:val="center"/>
    </w:pPr>
    <w:rPr>
      <w:rFonts w:ascii="Trebuchet MS" w:hAnsi="Trebuchet MS" w:cs="Times New Roman"/>
      <w:b/>
    </w:rPr>
  </w:style>
  <w:style w:type="paragraph" w:customStyle="1" w:styleId="TableNormal1">
    <w:name w:val="Table Normal1"/>
    <w:basedOn w:val="Normal"/>
    <w:pPr>
      <w:spacing w:before="120" w:after="120"/>
      <w:ind w:left="34"/>
    </w:pPr>
    <w:rPr>
      <w:rFonts w:ascii="Trebuchet MS" w:hAnsi="Trebuchet MS" w:cs="Times New Roman"/>
    </w:r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val="x-none"/>
    </w:rPr>
  </w:style>
  <w:style w:type="paragraph" w:styleId="FootnoteText">
    <w:name w:val="footnote text"/>
    <w:basedOn w:val="Normal"/>
    <w:link w:val="FootnoteTextChar"/>
    <w:uiPriority w:val="99"/>
    <w:rPr>
      <w:sz w:val="20"/>
      <w:szCs w:val="20"/>
    </w:rPr>
  </w:style>
  <w:style w:type="character" w:customStyle="1" w:styleId="FootnoteTextChar">
    <w:name w:val="Footnote Text Char"/>
    <w:link w:val="FootnoteText"/>
    <w:uiPriority w:val="99"/>
    <w:rPr>
      <w:lang w:val="x-none"/>
    </w:rPr>
  </w:style>
  <w:style w:type="character" w:styleId="FootnoteReference">
    <w:name w:val="footnote reference"/>
    <w:uiPriority w:val="99"/>
    <w:rPr>
      <w:vertAlign w:val="superscript"/>
    </w:rPr>
  </w:style>
  <w:style w:type="paragraph" w:styleId="BalloonText">
    <w:name w:val="Balloon Text"/>
    <w:basedOn w:val="Normal"/>
    <w:link w:val="BalloonTextChar"/>
    <w:uiPriority w:val="99"/>
    <w:pPr>
      <w:spacing w:after="0"/>
    </w:pPr>
    <w:rPr>
      <w:rFonts w:ascii="Tahoma" w:hAnsi="Tahoma" w:cs="Tahoma"/>
      <w:sz w:val="16"/>
      <w:szCs w:val="16"/>
    </w:rPr>
  </w:style>
  <w:style w:type="character" w:customStyle="1" w:styleId="BalloonTextChar">
    <w:name w:val="Balloon Text Char"/>
    <w:link w:val="BalloonText"/>
    <w:uiPriority w:val="99"/>
    <w:rPr>
      <w:rFonts w:ascii="Tahoma" w:hAnsi="Tahoma"/>
      <w:sz w:val="16"/>
      <w:lang w:val="x-none"/>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rFonts w:eastAsia="Times New Roman"/>
      <w:lang w:val="x-non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rPr>
      <w:rFonts w:eastAsia="Times New Roman"/>
      <w:b/>
      <w:lang w:val="x-none"/>
    </w:rPr>
  </w:style>
  <w:style w:type="paragraph" w:styleId="BodyTextIndent3">
    <w:name w:val="Body Text Indent 3"/>
    <w:basedOn w:val="Normal"/>
    <w:link w:val="BodyTextIndent3Char"/>
    <w:uiPriority w:val="99"/>
    <w:pPr>
      <w:spacing w:line="360" w:lineRule="auto"/>
      <w:ind w:left="2160"/>
    </w:pPr>
    <w:rPr>
      <w:rFonts w:ascii="Times New Roman" w:hAnsi="Times New Roman"/>
      <w:szCs w:val="20"/>
    </w:rPr>
  </w:style>
  <w:style w:type="character" w:customStyle="1" w:styleId="BodyTextIndent3Char">
    <w:name w:val="Body Text Indent 3 Char"/>
    <w:link w:val="BodyTextIndent3"/>
    <w:uiPriority w:val="99"/>
    <w:rPr>
      <w:rFonts w:ascii="Times New Roman" w:hAnsi="Times New Roman"/>
      <w:sz w:val="22"/>
      <w:lang w:val="x-none"/>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hAnsi="Times New Roman"/>
      <w:b/>
      <w:caps/>
      <w:szCs w:val="20"/>
    </w:rPr>
  </w:style>
  <w:style w:type="paragraph" w:styleId="ListBullet">
    <w:name w:val="List Bullet"/>
    <w:basedOn w:val="Normal"/>
    <w:uiPriority w:val="99"/>
    <w:pPr>
      <w:numPr>
        <w:numId w:val="5"/>
      </w:numPr>
      <w:spacing w:line="360" w:lineRule="auto"/>
    </w:pPr>
    <w:rPr>
      <w:rFonts w:ascii="Times New Roman" w:hAnsi="Times New Roman"/>
      <w:szCs w:val="20"/>
    </w:rPr>
  </w:style>
  <w:style w:type="paragraph" w:styleId="TOAHeading">
    <w:name w:val="toa heading"/>
    <w:basedOn w:val="Normal"/>
    <w:next w:val="Normal"/>
    <w:uiPriority w:val="99"/>
    <w:pPr>
      <w:spacing w:before="120" w:line="360" w:lineRule="auto"/>
    </w:pPr>
    <w:rPr>
      <w:rFonts w:ascii="Times New Roman" w:hAnsi="Times New Roman"/>
      <w:b/>
      <w:szCs w:val="20"/>
    </w:rPr>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TitleChar">
    <w:name w:val="Title Char"/>
    <w:link w:val="Title"/>
    <w:uiPriority w:val="10"/>
    <w:rPr>
      <w:rFonts w:ascii="Arial" w:hAnsi="Arial"/>
      <w:b/>
      <w:kern w:val="28"/>
      <w:sz w:val="32"/>
      <w:lang w:val="x-none"/>
    </w:rPr>
  </w:style>
  <w:style w:type="paragraph" w:styleId="ListBullet2">
    <w:name w:val="List Bullet 2"/>
    <w:basedOn w:val="Normal"/>
    <w:uiPriority w:val="99"/>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z w:val="24"/>
      <w:szCs w:val="20"/>
      <w:lang w:val="en-US"/>
    </w:rPr>
  </w:style>
  <w:style w:type="paragraph" w:customStyle="1" w:styleId="msolistparagraph0">
    <w:name w:val="msolistparagraph"/>
    <w:basedOn w:val="Normal"/>
    <w:pPr>
      <w:spacing w:after="0"/>
      <w:ind w:left="720"/>
    </w:pPr>
  </w:style>
  <w:style w:type="character" w:styleId="Hyperlink">
    <w:name w:val="Hyperlink"/>
    <w:uiPriority w:val="99"/>
    <w:rPr>
      <w:color w:val="0000FF"/>
      <w:u w:val="single"/>
    </w:rPr>
  </w:style>
  <w:style w:type="paragraph" w:styleId="TOC1">
    <w:name w:val="toc 1"/>
    <w:basedOn w:val="Normal"/>
    <w:next w:val="Normal"/>
    <w:autoRedefine/>
    <w:uiPriority w:val="39"/>
    <w:pPr>
      <w:spacing w:line="360" w:lineRule="auto"/>
    </w:pPr>
    <w:rPr>
      <w:rFonts w:ascii="Times New Roman" w:hAnsi="Times New Roman"/>
      <w:szCs w:val="20"/>
    </w:rPr>
  </w:style>
  <w:style w:type="paragraph" w:styleId="TOC2">
    <w:name w:val="toc 2"/>
    <w:basedOn w:val="Normal"/>
    <w:next w:val="Normal"/>
    <w:autoRedefine/>
    <w:uiPriority w:val="39"/>
    <w:pPr>
      <w:spacing w:line="360" w:lineRule="auto"/>
      <w:ind w:left="220"/>
    </w:pPr>
    <w:rPr>
      <w:rFonts w:ascii="Times New Roman" w:hAnsi="Times New Roman"/>
      <w:szCs w:val="20"/>
    </w:rPr>
  </w:style>
  <w:style w:type="paragraph" w:styleId="TOC3">
    <w:name w:val="toc 3"/>
    <w:basedOn w:val="Normal"/>
    <w:next w:val="Normal"/>
    <w:autoRedefine/>
    <w:uiPriority w:val="39"/>
    <w:pPr>
      <w:spacing w:line="360" w:lineRule="auto"/>
      <w:ind w:left="440"/>
    </w:pPr>
    <w:rPr>
      <w:rFonts w:ascii="Times New Roman" w:hAnsi="Times New Roman"/>
      <w:szCs w:val="20"/>
    </w:rPr>
  </w:style>
  <w:style w:type="paragraph" w:styleId="TOC4">
    <w:name w:val="toc 4"/>
    <w:basedOn w:val="Normal"/>
    <w:next w:val="Normal"/>
    <w:autoRedefine/>
    <w:uiPriority w:val="39"/>
    <w:pPr>
      <w:spacing w:line="360" w:lineRule="auto"/>
      <w:ind w:left="660"/>
    </w:pPr>
    <w:rPr>
      <w:rFonts w:ascii="Times New Roman" w:hAnsi="Times New Roman"/>
      <w:szCs w:val="20"/>
    </w:rPr>
  </w:style>
  <w:style w:type="paragraph" w:styleId="TOC5">
    <w:name w:val="toc 5"/>
    <w:basedOn w:val="Normal"/>
    <w:next w:val="Normal"/>
    <w:autoRedefine/>
    <w:uiPriority w:val="39"/>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uiPriority w:val="39"/>
    <w:pPr>
      <w:spacing w:line="360" w:lineRule="auto"/>
      <w:ind w:left="1320"/>
    </w:pPr>
    <w:rPr>
      <w:rFonts w:ascii="Times New Roman" w:hAnsi="Times New Roman"/>
      <w:szCs w:val="20"/>
    </w:rPr>
  </w:style>
  <w:style w:type="paragraph" w:styleId="TOC8">
    <w:name w:val="toc 8"/>
    <w:basedOn w:val="Normal"/>
    <w:next w:val="Normal"/>
    <w:autoRedefine/>
    <w:uiPriority w:val="39"/>
    <w:pPr>
      <w:spacing w:line="360" w:lineRule="auto"/>
      <w:ind w:left="1540"/>
    </w:pPr>
    <w:rPr>
      <w:rFonts w:ascii="Times New Roman" w:hAnsi="Times New Roman"/>
      <w:szCs w:val="20"/>
    </w:rPr>
  </w:style>
  <w:style w:type="paragraph" w:styleId="TOC9">
    <w:name w:val="toc 9"/>
    <w:basedOn w:val="Normal"/>
    <w:next w:val="Normal"/>
    <w:autoRedefine/>
    <w:uiPriority w:val="39"/>
    <w:pPr>
      <w:spacing w:line="360" w:lineRule="auto"/>
      <w:ind w:left="1760"/>
    </w:pPr>
    <w:rPr>
      <w:rFonts w:ascii="Times New Roman" w:hAnsi="Times New Roman"/>
      <w:szCs w:val="20"/>
    </w:rPr>
  </w:style>
  <w:style w:type="character" w:styleId="FollowedHyperlink">
    <w:name w:val="FollowedHyperlink"/>
    <w:uiPriority w:val="99"/>
    <w:rPr>
      <w:color w:val="800080"/>
      <w:u w:val="single"/>
    </w:rPr>
  </w:style>
  <w:style w:type="paragraph" w:styleId="BlockText">
    <w:name w:val="Block Text"/>
    <w:basedOn w:val="Normal"/>
    <w:uiPriority w:val="99"/>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uiPriority w:val="99"/>
    <w:pPr>
      <w:shd w:val="clear" w:color="auto" w:fill="000080"/>
      <w:spacing w:line="360" w:lineRule="auto"/>
    </w:pPr>
    <w:rPr>
      <w:rFonts w:ascii="Tahoma" w:hAnsi="Tahoma" w:cs="Tahoma"/>
      <w:sz w:val="20"/>
      <w:szCs w:val="20"/>
    </w:rPr>
  </w:style>
  <w:style w:type="character" w:customStyle="1" w:styleId="DocumentMapChar">
    <w:name w:val="Document Map Char"/>
    <w:link w:val="DocumentMap"/>
    <w:uiPriority w:val="99"/>
    <w:rPr>
      <w:rFonts w:ascii="Tahoma" w:hAnsi="Tahoma"/>
      <w:shd w:val="clear" w:color="auto" w:fill="000080"/>
      <w:lang w:val="x-none"/>
    </w:rPr>
  </w:style>
  <w:style w:type="paragraph" w:customStyle="1" w:styleId="blueheading">
    <w:name w:val="blueheading"/>
    <w:basedOn w:val="Normal"/>
    <w:pPr>
      <w:spacing w:before="100" w:beforeAutospacing="1" w:after="100" w:afterAutospacing="1"/>
    </w:pPr>
    <w:rPr>
      <w:rFonts w:ascii="Times New Roman" w:hAnsi="Times New Roman"/>
      <w:sz w:val="24"/>
      <w:szCs w:val="24"/>
    </w:rPr>
  </w:style>
  <w:style w:type="paragraph" w:customStyle="1" w:styleId="Default">
    <w:name w:val="Default"/>
    <w:uiPriority w:val="99"/>
    <w:pPr>
      <w:autoSpaceDE w:val="0"/>
      <w:autoSpaceDN w:val="0"/>
      <w:adjustRightInd w:val="0"/>
    </w:pPr>
    <w:rPr>
      <w:rFonts w:ascii="Times New Roman" w:hAnsi="Times New Roman"/>
      <w:color w:val="000000"/>
      <w:sz w:val="24"/>
      <w:szCs w:val="24"/>
      <w:lang w:val="en-US"/>
    </w:rPr>
  </w:style>
  <w:style w:type="paragraph" w:styleId="EndnoteText">
    <w:name w:val="endnote text"/>
    <w:basedOn w:val="Normal"/>
    <w:link w:val="EndnoteTextChar"/>
    <w:uiPriority w:val="99"/>
    <w:pPr>
      <w:widowControl w:val="0"/>
      <w:spacing w:after="0"/>
    </w:pPr>
    <w:rPr>
      <w:rFonts w:ascii="Courier" w:hAnsi="Courier"/>
      <w:sz w:val="24"/>
      <w:szCs w:val="20"/>
    </w:rPr>
  </w:style>
  <w:style w:type="character" w:customStyle="1" w:styleId="EndnoteTextChar">
    <w:name w:val="Endnote Text Char"/>
    <w:link w:val="EndnoteText"/>
    <w:uiPriority w:val="99"/>
    <w:rPr>
      <w:rFonts w:ascii="Courier" w:hAnsi="Courier"/>
      <w:sz w:val="24"/>
      <w:lang w:val="x-none"/>
    </w:rPr>
  </w:style>
  <w:style w:type="character" w:styleId="EndnoteReference">
    <w:name w:val="endnote reference"/>
    <w:uiPriority w:val="99"/>
    <w:rPr>
      <w:vertAlign w:val="superscript"/>
    </w:rPr>
  </w:style>
  <w:style w:type="paragraph" w:customStyle="1" w:styleId="bullet">
    <w:name w:val="bullet"/>
    <w:basedOn w:val="Normal"/>
    <w:pPr>
      <w:tabs>
        <w:tab w:val="num" w:pos="360"/>
      </w:tabs>
      <w:spacing w:before="120" w:after="0"/>
      <w:ind w:left="360" w:hanging="360"/>
    </w:pPr>
    <w:rPr>
      <w:rFonts w:ascii="Times New Roman" w:hAnsi="Times New Roman"/>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uiPriority w:val="99"/>
    <w:pPr>
      <w:spacing w:before="320" w:after="0" w:line="320" w:lineRule="atLeast"/>
    </w:pPr>
    <w:rPr>
      <w:rFonts w:ascii="Arial" w:hAnsi="Arial"/>
      <w:szCs w:val="20"/>
    </w:rPr>
  </w:style>
  <w:style w:type="character" w:customStyle="1" w:styleId="text0Char">
    <w:name w:val="text 0 Char"/>
    <w:uiPriority w:val="99"/>
    <w:rPr>
      <w:rFonts w:ascii="Arial" w:hAnsi="Arial"/>
      <w:sz w:val="22"/>
      <w:lang w:val="x-none"/>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autoSpaceDE w:val="0"/>
      <w:autoSpaceDN w:val="0"/>
      <w:adjustRightInd w:val="0"/>
      <w:spacing w:before="320" w:line="320" w:lineRule="atLeast"/>
      <w:jc w:val="both"/>
    </w:pPr>
    <w:rPr>
      <w:rFonts w:ascii="Arial" w:hAnsi="Arial"/>
      <w:color w:val="FF0000"/>
      <w:sz w:val="22"/>
      <w:szCs w:val="22"/>
    </w:rPr>
  </w:style>
  <w:style w:type="paragraph" w:customStyle="1" w:styleId="ScheduleNumber1">
    <w:name w:val="Schedule Number 1"/>
    <w:pPr>
      <w:keepNext/>
      <w:keepLines/>
      <w:tabs>
        <w:tab w:val="num" w:pos="360"/>
      </w:tabs>
      <w:autoSpaceDE w:val="0"/>
      <w:autoSpaceDN w:val="0"/>
      <w:adjustRightInd w:val="0"/>
      <w:spacing w:before="320" w:line="320" w:lineRule="atLeast"/>
      <w:jc w:val="both"/>
    </w:pPr>
    <w:rPr>
      <w:rFonts w:ascii="Arial" w:hAnsi="Arial"/>
      <w:sz w:val="22"/>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pPr>
      <w:spacing w:after="0"/>
    </w:pPr>
    <w:rPr>
      <w:rFonts w:ascii="Times New Roman" w:hAnsi="Times New Roman"/>
      <w:sz w:val="24"/>
      <w:szCs w:val="24"/>
    </w:rPr>
  </w:style>
  <w:style w:type="character" w:styleId="Emphasis">
    <w:name w:val="Emphasis"/>
    <w:uiPriority w:val="20"/>
    <w:qFormat/>
    <w:rPr>
      <w:i/>
    </w:rPr>
  </w:style>
  <w:style w:type="character" w:styleId="Strong">
    <w:name w:val="Strong"/>
    <w:uiPriority w:val="22"/>
    <w:qFormat/>
    <w:rPr>
      <w:b/>
    </w:rPr>
  </w:style>
  <w:style w:type="paragraph" w:customStyle="1" w:styleId="Level2">
    <w:name w:val="Level 2"/>
    <w:basedOn w:val="Normal"/>
    <w:uiPriority w:val="99"/>
    <w:pPr>
      <w:tabs>
        <w:tab w:val="num" w:pos="851"/>
      </w:tabs>
      <w:ind w:left="851" w:hanging="851"/>
      <w:outlineLvl w:val="1"/>
    </w:pPr>
    <w:rPr>
      <w:rFonts w:ascii="Arial" w:hAnsi="Arial"/>
      <w:sz w:val="20"/>
      <w:szCs w:val="20"/>
    </w:rPr>
  </w:style>
  <w:style w:type="paragraph" w:customStyle="1" w:styleId="Level3">
    <w:name w:val="Level 3"/>
    <w:basedOn w:val="Normal"/>
    <w:uiPriority w:val="99"/>
    <w:pPr>
      <w:tabs>
        <w:tab w:val="num" w:pos="1702"/>
      </w:tabs>
      <w:ind w:left="1702" w:hanging="851"/>
      <w:outlineLvl w:val="2"/>
    </w:pPr>
    <w:rPr>
      <w:rFonts w:ascii="Arial" w:hAnsi="Arial"/>
      <w:sz w:val="20"/>
      <w:szCs w:val="20"/>
    </w:rPr>
  </w:style>
  <w:style w:type="paragraph" w:customStyle="1" w:styleId="Level4">
    <w:name w:val="Level 4"/>
    <w:basedOn w:val="Normal"/>
    <w:uiPriority w:val="99"/>
    <w:pPr>
      <w:tabs>
        <w:tab w:val="num" w:pos="2553"/>
      </w:tabs>
      <w:ind w:left="2553" w:hanging="851"/>
      <w:outlineLvl w:val="3"/>
    </w:pPr>
    <w:rPr>
      <w:rFonts w:ascii="Arial" w:hAnsi="Arial"/>
      <w:sz w:val="20"/>
      <w:szCs w:val="20"/>
    </w:rPr>
  </w:style>
  <w:style w:type="paragraph" w:customStyle="1" w:styleId="Level5">
    <w:name w:val="Level 5"/>
    <w:basedOn w:val="Normal"/>
    <w:uiPriority w:val="99"/>
    <w:pPr>
      <w:tabs>
        <w:tab w:val="num" w:pos="3404"/>
      </w:tabs>
      <w:ind w:left="3404" w:hanging="851"/>
      <w:outlineLvl w:val="4"/>
    </w:pPr>
    <w:rPr>
      <w:rFonts w:ascii="Arial" w:hAnsi="Arial"/>
      <w:sz w:val="20"/>
      <w:szCs w:val="20"/>
    </w:rPr>
  </w:style>
  <w:style w:type="paragraph" w:customStyle="1" w:styleId="Level6">
    <w:name w:val="Level 6"/>
    <w:basedOn w:val="Normal"/>
    <w:uiPriority w:val="99"/>
    <w:pPr>
      <w:tabs>
        <w:tab w:val="num" w:pos="4255"/>
      </w:tabs>
      <w:ind w:left="4255" w:hanging="851"/>
      <w:outlineLvl w:val="5"/>
    </w:pPr>
    <w:rPr>
      <w:rFonts w:ascii="Arial" w:hAnsi="Arial"/>
      <w:sz w:val="20"/>
      <w:szCs w:val="20"/>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rPr>
  </w:style>
  <w:style w:type="paragraph" w:customStyle="1" w:styleId="Body">
    <w:name w:val="Body"/>
    <w:aliases w:val="b"/>
    <w:basedOn w:val="Normal"/>
    <w:link w:val="BodyChar"/>
    <w:rPr>
      <w:rFonts w:ascii="Arial" w:hAnsi="Arial"/>
      <w:szCs w:val="20"/>
    </w:rPr>
  </w:style>
  <w:style w:type="paragraph" w:customStyle="1" w:styleId="heading2numberedbutnotbold">
    <w:name w:val="heading 2 numbered but not bold"/>
    <w:basedOn w:val="Heading2"/>
    <w:qFormat/>
    <w:pPr>
      <w:keepNext w:val="0"/>
      <w:keepLines w:val="0"/>
      <w:tabs>
        <w:tab w:val="num" w:pos="1713"/>
      </w:tabs>
      <w:ind w:left="1713"/>
    </w:pPr>
    <w:rPr>
      <w:rFonts w:ascii="Arial" w:eastAsia="STZhongsong" w:hAnsi="Arial"/>
      <w:b w:val="0"/>
      <w:sz w:val="20"/>
      <w:szCs w:val="20"/>
    </w:rPr>
  </w:style>
  <w:style w:type="character" w:customStyle="1" w:styleId="heading2numberedbutnotboldChar">
    <w:name w:val="heading 2 numbered but not bold Char"/>
    <w:rPr>
      <w:rFonts w:ascii="Arial" w:eastAsia="STZhongsong" w:hAnsi="Arial"/>
      <w:lang w:val="x-none"/>
    </w:rPr>
  </w:style>
  <w:style w:type="paragraph" w:customStyle="1" w:styleId="PartHeadingboldcentered">
    <w:name w:val="Part Heading bold centered"/>
    <w:basedOn w:val="MarginText"/>
    <w:qFormat/>
    <w:pPr>
      <w:keepNext/>
      <w:ind w:left="0"/>
      <w:jc w:val="center"/>
    </w:pPr>
    <w:rPr>
      <w:rFonts w:ascii="Arial" w:eastAsia="STZhongsong" w:hAnsi="Arial"/>
      <w:b/>
      <w:sz w:val="20"/>
      <w:szCs w:val="20"/>
    </w:rPr>
  </w:style>
  <w:style w:type="character" w:customStyle="1" w:styleId="PartHeadingboldcenteredChar">
    <w:name w:val="Part Heading bold centered Char"/>
    <w:rPr>
      <w:rFonts w:ascii="Arial" w:eastAsia="STZhongsong" w:hAnsi="Arial"/>
      <w:b/>
      <w:lang w:val="x-none"/>
    </w:rPr>
  </w:style>
  <w:style w:type="paragraph" w:customStyle="1" w:styleId="ScheduleL1">
    <w:name w:val="Schedule L1"/>
    <w:basedOn w:val="Normal"/>
    <w:pPr>
      <w:keepNext/>
      <w:numPr>
        <w:numId w:val="17"/>
      </w:numPr>
      <w:spacing w:before="120"/>
      <w:outlineLvl w:val="0"/>
    </w:pPr>
    <w:rPr>
      <w:rFonts w:eastAsia="STZhongsong" w:cs="Times New Roman"/>
      <w:b/>
      <w:caps/>
      <w:szCs w:val="20"/>
    </w:rPr>
  </w:style>
  <w:style w:type="paragraph" w:customStyle="1" w:styleId="ScheduleL2">
    <w:name w:val="Schedule L2"/>
    <w:basedOn w:val="Normal"/>
    <w:pPr>
      <w:numPr>
        <w:ilvl w:val="1"/>
        <w:numId w:val="17"/>
      </w:numPr>
      <w:tabs>
        <w:tab w:val="left" w:pos="993"/>
      </w:tabs>
      <w:spacing w:before="120" w:after="120"/>
      <w:outlineLvl w:val="1"/>
    </w:pPr>
    <w:rPr>
      <w:rFonts w:eastAsia="STZhongsong" w:cs="Times New Roman"/>
      <w:szCs w:val="20"/>
      <w:lang w:val="en-US"/>
    </w:rPr>
  </w:style>
  <w:style w:type="character" w:customStyle="1" w:styleId="ScheduleL2Char">
    <w:name w:val="Schedule L2 Char"/>
    <w:rPr>
      <w:rFonts w:eastAsia="STZhongsong"/>
      <w:sz w:val="22"/>
      <w:lang w:val="en-US"/>
    </w:rPr>
  </w:style>
  <w:style w:type="paragraph" w:customStyle="1" w:styleId="ScheduleL3">
    <w:name w:val="Schedule L3"/>
    <w:basedOn w:val="Normal"/>
    <w:pPr>
      <w:numPr>
        <w:ilvl w:val="2"/>
        <w:numId w:val="17"/>
      </w:numPr>
      <w:spacing w:before="120" w:after="120"/>
      <w:outlineLvl w:val="2"/>
    </w:pPr>
    <w:rPr>
      <w:rFonts w:eastAsia="STZhongsong" w:cs="Times New Roman"/>
      <w:szCs w:val="20"/>
    </w:rPr>
  </w:style>
  <w:style w:type="paragraph" w:customStyle="1" w:styleId="ScheduleL4">
    <w:name w:val="Schedule L4"/>
    <w:basedOn w:val="Normal"/>
    <w:pPr>
      <w:numPr>
        <w:ilvl w:val="3"/>
        <w:numId w:val="17"/>
      </w:numPr>
      <w:spacing w:before="120" w:after="120"/>
      <w:outlineLvl w:val="3"/>
    </w:pPr>
    <w:rPr>
      <w:rFonts w:eastAsia="STZhongsong" w:cs="Times New Roman"/>
      <w:szCs w:val="20"/>
    </w:rPr>
  </w:style>
  <w:style w:type="paragraph" w:customStyle="1" w:styleId="ScheduleL5">
    <w:name w:val="Schedule L5"/>
    <w:basedOn w:val="Normal"/>
    <w:pPr>
      <w:numPr>
        <w:ilvl w:val="4"/>
        <w:numId w:val="17"/>
      </w:numPr>
      <w:outlineLvl w:val="4"/>
    </w:pPr>
    <w:rPr>
      <w:rFonts w:ascii="Times New Roman" w:eastAsia="STZhongsong" w:hAnsi="Times New Roman" w:cs="Times New Roman"/>
      <w:szCs w:val="20"/>
    </w:rPr>
  </w:style>
  <w:style w:type="paragraph" w:customStyle="1" w:styleId="ScheduleL6">
    <w:name w:val="Schedule L6"/>
    <w:basedOn w:val="Normal"/>
    <w:pPr>
      <w:numPr>
        <w:ilvl w:val="5"/>
        <w:numId w:val="17"/>
      </w:numPr>
      <w:outlineLvl w:val="5"/>
    </w:pPr>
    <w:rPr>
      <w:rFonts w:ascii="Times New Roman" w:eastAsia="STZhongsong" w:hAnsi="Times New Roman"/>
      <w:szCs w:val="20"/>
    </w:rPr>
  </w:style>
  <w:style w:type="paragraph" w:customStyle="1" w:styleId="ScheduleL7">
    <w:name w:val="Schedule L7"/>
    <w:basedOn w:val="Normal"/>
    <w:pPr>
      <w:numPr>
        <w:ilvl w:val="6"/>
        <w:numId w:val="17"/>
      </w:numPr>
      <w:outlineLvl w:val="6"/>
    </w:pPr>
    <w:rPr>
      <w:rFonts w:ascii="Times New Roman" w:eastAsia="STZhongsong" w:hAnsi="Times New Roman"/>
      <w:szCs w:val="20"/>
    </w:rPr>
  </w:style>
  <w:style w:type="paragraph" w:customStyle="1" w:styleId="ScheduleL8">
    <w:name w:val="Schedule L8"/>
    <w:basedOn w:val="Normal"/>
    <w:pPr>
      <w:numPr>
        <w:ilvl w:val="7"/>
        <w:numId w:val="17"/>
      </w:numPr>
      <w:outlineLvl w:val="7"/>
    </w:pPr>
    <w:rPr>
      <w:rFonts w:ascii="Times New Roman" w:eastAsia="STZhongsong" w:hAnsi="Times New Roman"/>
      <w:szCs w:val="20"/>
    </w:rPr>
  </w:style>
  <w:style w:type="paragraph" w:customStyle="1" w:styleId="ScheduleL9">
    <w:name w:val="Schedule L9"/>
    <w:basedOn w:val="Normal"/>
    <w:pPr>
      <w:numPr>
        <w:ilvl w:val="8"/>
        <w:numId w:val="17"/>
      </w:numPr>
      <w:outlineLvl w:val="8"/>
    </w:pPr>
    <w:rPr>
      <w:rFonts w:ascii="Times New Roman" w:eastAsia="STZhongsong" w:hAnsi="Times New Roman"/>
      <w:szCs w:val="20"/>
    </w:rPr>
  </w:style>
  <w:style w:type="paragraph" w:customStyle="1" w:styleId="bodystrong">
    <w:name w:val="body strong"/>
    <w:basedOn w:val="Body"/>
    <w:pPr>
      <w:spacing w:after="0"/>
      <w:jc w:val="left"/>
    </w:pPr>
    <w:rPr>
      <w:rFonts w:eastAsia="SimSun" w:cs="Times New Roman"/>
      <w:b/>
      <w:sz w:val="20"/>
      <w:szCs w:val="24"/>
    </w:rPr>
  </w:style>
  <w:style w:type="character" w:customStyle="1" w:styleId="bodystrongChar">
    <w:name w:val="body strong Char"/>
    <w:rPr>
      <w:rFonts w:ascii="Arial" w:eastAsia="SimSun" w:hAnsi="Arial"/>
      <w:b/>
      <w:sz w:val="24"/>
      <w:lang w:val="x-none"/>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9"/>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9"/>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hAnsi="Times New Roman"/>
      <w:szCs w:val="20"/>
    </w:rPr>
  </w:style>
  <w:style w:type="paragraph" w:customStyle="1" w:styleId="StyleHeading3ServiceConformance3Arial">
    <w:name w:val="Style Heading 3Service Conformance 3 + Arial"/>
    <w:basedOn w:val="Heading3"/>
    <w:pPr>
      <w:keepLines w:val="0"/>
      <w:numPr>
        <w:ilvl w:val="0"/>
        <w:numId w:val="0"/>
      </w:numPr>
      <w:tabs>
        <w:tab w:val="num" w:pos="0"/>
      </w:tabs>
      <w:spacing w:line="360" w:lineRule="auto"/>
      <w:ind w:left="2194" w:hanging="737"/>
    </w:pPr>
    <w:rPr>
      <w:rFonts w:ascii="Times New Roman" w:hAnsi="Times New Roman"/>
      <w:szCs w:val="20"/>
    </w:rPr>
  </w:style>
  <w:style w:type="character" w:customStyle="1" w:styleId="StyleHeading3ServiceConformance3ArialCharChar">
    <w:name w:val="Style Heading 3Service Conformance 3 + Arial Char Char"/>
    <w:rPr>
      <w:rFonts w:ascii="Times New Roman" w:hAnsi="Times New Roman"/>
      <w:sz w:val="22"/>
      <w:lang w:val="x-none"/>
    </w:rPr>
  </w:style>
  <w:style w:type="paragraph" w:customStyle="1" w:styleId="StyleHeading5ServiceConformance4HeadingHeading5unusedLev">
    <w:name w:val="Style Heading 5Service Conformance 4HeadingHeading 5(unused)Lev..."/>
    <w:basedOn w:val="Heading5"/>
    <w:pPr>
      <w:keepLines w:val="0"/>
      <w:spacing w:line="360" w:lineRule="auto"/>
      <w:ind w:left="720" w:hanging="720"/>
      <w:jc w:val="left"/>
    </w:pPr>
    <w:rPr>
      <w:rFonts w:ascii="Times New Roman" w:hAnsi="Times New Roman"/>
      <w:szCs w:val="20"/>
    </w:rPr>
  </w:style>
  <w:style w:type="character" w:customStyle="1" w:styleId="StyleHeading5ServiceConformance4HeadingHeading5unusedLevChar">
    <w:name w:val="Style Heading 5Service Conformance 4HeadingHeading 5(unused)Lev... Char"/>
    <w:rPr>
      <w:rFonts w:ascii="Times New Roman" w:hAnsi="Times New Roman"/>
      <w:sz w:val="22"/>
      <w:lang w:val="x-none"/>
    </w:rPr>
  </w:style>
  <w:style w:type="character" w:styleId="PlaceholderText">
    <w:name w:val="Placeholder Text"/>
    <w:uiPriority w:val="99"/>
    <w:rPr>
      <w:color w:val="808080"/>
    </w:rPr>
  </w:style>
  <w:style w:type="paragraph" w:customStyle="1" w:styleId="FFWLevel1">
    <w:name w:val="FFW Level 1"/>
    <w:basedOn w:val="Normal"/>
    <w:next w:val="FFWLevel2"/>
    <w:pPr>
      <w:keepNext/>
      <w:numPr>
        <w:numId w:val="10"/>
      </w:numPr>
      <w:spacing w:before="240" w:after="0" w:line="260" w:lineRule="atLeast"/>
    </w:pPr>
    <w:rPr>
      <w:rFonts w:ascii="Arial" w:hAnsi="Arial"/>
      <w:b/>
      <w:sz w:val="20"/>
      <w:szCs w:val="24"/>
    </w:rPr>
  </w:style>
  <w:style w:type="paragraph" w:customStyle="1" w:styleId="FFWLevel2">
    <w:name w:val="FFW Level 2"/>
    <w:basedOn w:val="Normal"/>
    <w:pPr>
      <w:numPr>
        <w:ilvl w:val="1"/>
        <w:numId w:val="10"/>
      </w:numPr>
      <w:spacing w:before="240" w:after="0" w:line="260" w:lineRule="atLeast"/>
    </w:pPr>
    <w:rPr>
      <w:rFonts w:ascii="Arial" w:hAnsi="Arial"/>
      <w:sz w:val="20"/>
      <w:szCs w:val="24"/>
    </w:rPr>
  </w:style>
  <w:style w:type="character" w:customStyle="1" w:styleId="FFWLevel2Char">
    <w:name w:val="FFW Level 2 Char"/>
    <w:rPr>
      <w:rFonts w:ascii="Arial" w:hAnsi="Arial"/>
      <w:sz w:val="24"/>
      <w:lang w:val="x-none"/>
    </w:rPr>
  </w:style>
  <w:style w:type="paragraph" w:customStyle="1" w:styleId="FFWLevel3">
    <w:name w:val="FFW Level 3"/>
    <w:basedOn w:val="Normal"/>
    <w:pPr>
      <w:numPr>
        <w:ilvl w:val="3"/>
        <w:numId w:val="10"/>
      </w:numPr>
      <w:spacing w:before="240" w:after="0" w:line="260" w:lineRule="atLeast"/>
    </w:pPr>
    <w:rPr>
      <w:rFonts w:ascii="Arial" w:hAnsi="Arial"/>
      <w:sz w:val="20"/>
      <w:szCs w:val="24"/>
    </w:rPr>
  </w:style>
  <w:style w:type="paragraph" w:customStyle="1" w:styleId="FFWLevel4">
    <w:name w:val="FFW Level 4"/>
    <w:basedOn w:val="Normal"/>
    <w:pPr>
      <w:tabs>
        <w:tab w:val="num" w:pos="1587"/>
      </w:tabs>
      <w:spacing w:before="240" w:after="0" w:line="260" w:lineRule="atLeast"/>
      <w:ind w:left="1587" w:hanging="793"/>
    </w:pPr>
    <w:rPr>
      <w:rFonts w:ascii="Arial" w:hAnsi="Arial"/>
      <w:sz w:val="20"/>
      <w:szCs w:val="24"/>
    </w:rPr>
  </w:style>
  <w:style w:type="character" w:customStyle="1" w:styleId="FFWLevel4Char">
    <w:name w:val="FFW Level 4 Char"/>
    <w:rPr>
      <w:rFonts w:ascii="Arial" w:hAnsi="Arial"/>
      <w:sz w:val="24"/>
      <w:lang w:val="x-none"/>
    </w:rPr>
  </w:style>
  <w:style w:type="paragraph" w:customStyle="1" w:styleId="FFWLevel5">
    <w:name w:val="FFW Level 5"/>
    <w:basedOn w:val="Normal"/>
    <w:pPr>
      <w:tabs>
        <w:tab w:val="num" w:pos="2381"/>
      </w:tabs>
      <w:spacing w:before="240" w:after="0" w:line="260" w:lineRule="atLeast"/>
      <w:ind w:left="2381" w:hanging="794"/>
    </w:pPr>
    <w:rPr>
      <w:rFonts w:ascii="Arial" w:hAnsi="Arial"/>
      <w:sz w:val="20"/>
      <w:szCs w:val="24"/>
    </w:rPr>
  </w:style>
  <w:style w:type="paragraph" w:customStyle="1" w:styleId="FFWLevel6">
    <w:name w:val="FFW Level 6"/>
    <w:basedOn w:val="Normal"/>
    <w:pPr>
      <w:numPr>
        <w:ilvl w:val="5"/>
        <w:numId w:val="10"/>
      </w:numPr>
      <w:spacing w:before="240" w:after="0" w:line="260" w:lineRule="atLeast"/>
    </w:pPr>
    <w:rPr>
      <w:rFonts w:ascii="Arial" w:hAnsi="Arial"/>
      <w:sz w:val="20"/>
      <w:szCs w:val="24"/>
    </w:rPr>
  </w:style>
  <w:style w:type="paragraph" w:customStyle="1" w:styleId="FFWBody1">
    <w:name w:val="FFW Body 1"/>
    <w:basedOn w:val="Normal"/>
    <w:pPr>
      <w:spacing w:before="240" w:after="0" w:line="260" w:lineRule="atLeast"/>
      <w:ind w:left="794"/>
    </w:pPr>
    <w:rPr>
      <w:rFonts w:ascii="Arial" w:hAnsi="Arial"/>
      <w:sz w:val="20"/>
      <w:szCs w:val="24"/>
    </w:rPr>
  </w:style>
  <w:style w:type="paragraph" w:customStyle="1" w:styleId="FFWDefinitionColumnLevel1">
    <w:name w:val="FFW Definition Column Level 1"/>
    <w:basedOn w:val="Normal"/>
    <w:pPr>
      <w:numPr>
        <w:numId w:val="11"/>
      </w:numPr>
      <w:spacing w:before="240" w:after="0" w:line="260" w:lineRule="atLeast"/>
    </w:pPr>
    <w:rPr>
      <w:rFonts w:ascii="Arial" w:hAnsi="Arial"/>
      <w:sz w:val="20"/>
      <w:szCs w:val="24"/>
    </w:rPr>
  </w:style>
  <w:style w:type="paragraph" w:customStyle="1" w:styleId="FFWDefinitionColumnLevel2">
    <w:name w:val="FFW Definition Column Level 2"/>
    <w:basedOn w:val="Normal"/>
    <w:pPr>
      <w:numPr>
        <w:ilvl w:val="1"/>
        <w:numId w:val="11"/>
      </w:numPr>
      <w:spacing w:before="240" w:after="0" w:line="260" w:lineRule="atLeast"/>
    </w:pPr>
    <w:rPr>
      <w:rFonts w:ascii="Arial" w:hAnsi="Arial"/>
      <w:sz w:val="20"/>
      <w:szCs w:val="24"/>
    </w:rPr>
  </w:style>
  <w:style w:type="paragraph" w:customStyle="1" w:styleId="FFWBody3">
    <w:name w:val="FFW Body 3"/>
    <w:basedOn w:val="Normal"/>
    <w:pPr>
      <w:spacing w:before="240" w:after="0" w:line="260" w:lineRule="atLeast"/>
      <w:ind w:left="794"/>
    </w:pPr>
    <w:rPr>
      <w:rFonts w:ascii="Arial" w:hAnsi="Arial"/>
      <w:sz w:val="20"/>
      <w:szCs w:val="20"/>
    </w:rPr>
  </w:style>
  <w:style w:type="paragraph" w:customStyle="1" w:styleId="FFWDefinitionLevel1">
    <w:name w:val="FFW Definition Level 1"/>
    <w:basedOn w:val="Normal"/>
    <w:pPr>
      <w:numPr>
        <w:numId w:val="12"/>
      </w:numPr>
      <w:spacing w:before="240" w:after="0" w:line="260" w:lineRule="atLeast"/>
    </w:pPr>
    <w:rPr>
      <w:rFonts w:ascii="Arial" w:hAnsi="Arial"/>
      <w:sz w:val="20"/>
      <w:szCs w:val="24"/>
    </w:rPr>
  </w:style>
  <w:style w:type="paragraph" w:styleId="NoSpacing">
    <w:name w:val="No Spacing"/>
    <w:uiPriority w:val="1"/>
    <w:qFormat/>
    <w:pPr>
      <w:autoSpaceDE w:val="0"/>
      <w:autoSpaceDN w:val="0"/>
      <w:adjustRightInd w:val="0"/>
    </w:pPr>
    <w:rPr>
      <w:rFonts w:ascii="Arial" w:hAnsi="Arial" w:cs="Arial"/>
      <w:sz w:val="24"/>
      <w:szCs w:val="24"/>
    </w:rPr>
  </w:style>
  <w:style w:type="paragraph" w:customStyle="1" w:styleId="GPSSchTitleandNumber">
    <w:name w:val="GPS Sch Title and Number"/>
    <w:basedOn w:val="Normal"/>
    <w:qFormat/>
    <w:pPr>
      <w:keepNext/>
      <w:ind w:firstLine="426"/>
      <w:jc w:val="center"/>
      <w:outlineLvl w:val="0"/>
    </w:pPr>
    <w:rPr>
      <w:rFonts w:ascii="Arial Bold" w:eastAsia="STZhongsong" w:hAnsi="Arial Bold" w:cs="Times New Roman"/>
      <w:b/>
      <w:caps/>
    </w:rPr>
  </w:style>
  <w:style w:type="character" w:customStyle="1" w:styleId="GPSSchTitleandNumberChar">
    <w:name w:val="GPS Sch Title and Number Char"/>
    <w:rPr>
      <w:rFonts w:ascii="Arial Bold" w:eastAsia="STZhongsong" w:hAnsi="Arial Bold"/>
      <w:b/>
      <w:caps/>
      <w:sz w:val="22"/>
      <w:lang w:val="x-none"/>
    </w:rPr>
  </w:style>
  <w:style w:type="paragraph" w:customStyle="1" w:styleId="FFWDefinitionLevel2">
    <w:name w:val="FFW Definition Level 2"/>
    <w:basedOn w:val="Normal"/>
    <w:pPr>
      <w:tabs>
        <w:tab w:val="num" w:pos="1587"/>
      </w:tabs>
      <w:spacing w:before="240" w:after="0" w:line="260" w:lineRule="atLeast"/>
      <w:ind w:left="1587" w:hanging="794"/>
    </w:pPr>
    <w:rPr>
      <w:rFonts w:ascii="Arial" w:hAnsi="Arial"/>
      <w:sz w:val="20"/>
      <w:szCs w:val="24"/>
    </w:r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pPr>
      <w:spacing w:after="120" w:line="480" w:lineRule="auto"/>
    </w:pPr>
  </w:style>
  <w:style w:type="character" w:customStyle="1" w:styleId="BodyText2Char">
    <w:name w:val="Body Text 2 Char"/>
    <w:link w:val="BodyText2"/>
    <w:uiPriority w:val="99"/>
    <w:rPr>
      <w:sz w:val="22"/>
      <w:lang w:val="x-none"/>
    </w:rPr>
  </w:style>
  <w:style w:type="paragraph" w:customStyle="1" w:styleId="GPSL1CLAUSEHEADING">
    <w:name w:val="GPS L1 CLAUSE HEADING"/>
    <w:basedOn w:val="Normal"/>
    <w:next w:val="Normal"/>
    <w:uiPriority w:val="99"/>
    <w:qFormat/>
    <w:pPr>
      <w:numPr>
        <w:numId w:val="16"/>
      </w:numPr>
      <w:tabs>
        <w:tab w:val="left" w:pos="142"/>
      </w:tabs>
      <w:spacing w:before="120"/>
      <w:outlineLvl w:val="1"/>
    </w:pPr>
    <w:rPr>
      <w:rFonts w:eastAsia="STZhongsong"/>
      <w:b/>
      <w:caps/>
    </w:rPr>
  </w:style>
  <w:style w:type="paragraph" w:customStyle="1" w:styleId="GPSL2numberedclause">
    <w:name w:val="GPS L2 numbered clause"/>
    <w:basedOn w:val="Normal"/>
    <w:qFormat/>
    <w:pPr>
      <w:tabs>
        <w:tab w:val="left" w:pos="1134"/>
      </w:tabs>
      <w:spacing w:before="120" w:after="120"/>
      <w:ind w:left="1134" w:hanging="567"/>
    </w:pPr>
  </w:style>
  <w:style w:type="paragraph" w:customStyle="1" w:styleId="GPSL3numberedclause">
    <w:name w:val="GPS L3 numbered clause"/>
    <w:basedOn w:val="Normal"/>
    <w:qFormat/>
    <w:pPr>
      <w:numPr>
        <w:ilvl w:val="2"/>
        <w:numId w:val="16"/>
      </w:numPr>
      <w:tabs>
        <w:tab w:val="left" w:pos="1985"/>
      </w:tabs>
      <w:spacing w:before="120" w:after="120"/>
    </w:pPr>
  </w:style>
  <w:style w:type="paragraph" w:customStyle="1" w:styleId="GPSL4numberedclause">
    <w:name w:val="GPS L4 numbered clause"/>
    <w:basedOn w:val="GPSL3numberedclause"/>
    <w:qFormat/>
    <w:pPr>
      <w:numPr>
        <w:ilvl w:val="3"/>
      </w:numPr>
      <w:tabs>
        <w:tab w:val="clear" w:pos="1985"/>
        <w:tab w:val="num" w:pos="1418"/>
      </w:tabs>
      <w:ind w:hanging="709"/>
    </w:pPr>
  </w:style>
  <w:style w:type="character" w:customStyle="1" w:styleId="GPSL2numberedclauseChar1">
    <w:name w:val="GPS L2 numbered clause Char1"/>
    <w:rPr>
      <w:rFonts w:eastAsia="Times New Roman"/>
      <w:sz w:val="22"/>
      <w:lang w:val="x-none"/>
    </w:rPr>
  </w:style>
  <w:style w:type="paragraph" w:customStyle="1" w:styleId="GPSL5numberedclause">
    <w:name w:val="GPS L5 numbered clause"/>
    <w:basedOn w:val="GPSL4numberedclause"/>
    <w:qFormat/>
    <w:pPr>
      <w:numPr>
        <w:ilvl w:val="4"/>
      </w:numPr>
      <w:tabs>
        <w:tab w:val="num" w:pos="1417"/>
        <w:tab w:val="left" w:pos="3119"/>
      </w:tabs>
    </w:pPr>
  </w:style>
  <w:style w:type="paragraph" w:customStyle="1" w:styleId="GPSL6numbered">
    <w:name w:val="GPS L6 numbered"/>
    <w:basedOn w:val="GPSL5numberedclause"/>
    <w:uiPriority w:val="99"/>
    <w:qFormat/>
    <w:pPr>
      <w:numPr>
        <w:ilvl w:val="5"/>
      </w:numPr>
      <w:tabs>
        <w:tab w:val="num" w:pos="2835"/>
        <w:tab w:val="left" w:pos="3686"/>
      </w:tabs>
      <w:ind w:left="3543" w:hanging="708"/>
    </w:pPr>
  </w:style>
  <w:style w:type="character" w:customStyle="1" w:styleId="GPSL3numberedclauseChar">
    <w:name w:val="GPS L3 numbered clause Char"/>
    <w:rPr>
      <w:rFonts w:eastAsia="Times New Roman"/>
      <w:sz w:val="22"/>
      <w:lang w:val="x-none"/>
    </w:rPr>
  </w:style>
  <w:style w:type="paragraph" w:styleId="Revision">
    <w:name w:val="Revision"/>
    <w:hidden/>
    <w:uiPriority w:val="99"/>
    <w:pPr>
      <w:autoSpaceDE w:val="0"/>
      <w:autoSpaceDN w:val="0"/>
      <w:adjustRightInd w:val="0"/>
    </w:pPr>
    <w:rPr>
      <w:sz w:val="22"/>
      <w:szCs w:val="22"/>
    </w:rPr>
  </w:style>
  <w:style w:type="paragraph" w:customStyle="1" w:styleId="GPSL2Numbered">
    <w:name w:val="GPS L2 Numbered"/>
    <w:basedOn w:val="GPSL2NumberedBoldHeading"/>
    <w:qFormat/>
    <w:pPr>
      <w:numPr>
        <w:ilvl w:val="0"/>
        <w:numId w:val="0"/>
      </w:numPr>
      <w:tabs>
        <w:tab w:val="clear" w:pos="1134"/>
      </w:tabs>
    </w:pPr>
    <w:rPr>
      <w:b w:val="0"/>
    </w:rPr>
  </w:style>
  <w:style w:type="character" w:customStyle="1" w:styleId="GPSL2NumberedChar">
    <w:name w:val="GPS L2 Numbered Char"/>
    <w:rPr>
      <w:rFonts w:eastAsia="Times New Roman"/>
      <w:sz w:val="22"/>
      <w:lang w:val="x-none"/>
    </w:rPr>
  </w:style>
  <w:style w:type="paragraph" w:customStyle="1" w:styleId="GPSL1SCHEDULEHeading">
    <w:name w:val="GPS L1 SCHEDULE Heading"/>
    <w:basedOn w:val="GPSL1CLAUSEHEADING"/>
    <w:qFormat/>
    <w:pPr>
      <w:numPr>
        <w:numId w:val="0"/>
      </w:numPr>
      <w:outlineLvl w:val="9"/>
    </w:pPr>
  </w:style>
  <w:style w:type="character" w:customStyle="1" w:styleId="GPSL1SCHEDULEHeadingChar">
    <w:name w:val="GPS L1 SCHEDULE Heading Char"/>
    <w:rPr>
      <w:rFonts w:eastAsia="STZhongsong"/>
      <w:b/>
      <w:caps/>
      <w:sz w:val="22"/>
      <w:lang w:val="x-none"/>
    </w:rPr>
  </w:style>
  <w:style w:type="paragraph" w:customStyle="1" w:styleId="GPSL2NumberedBoldHeading">
    <w:name w:val="GPS L2 Numbered Bold Heading"/>
    <w:basedOn w:val="Normal"/>
    <w:qFormat/>
    <w:pPr>
      <w:numPr>
        <w:ilvl w:val="1"/>
        <w:numId w:val="16"/>
      </w:numPr>
      <w:tabs>
        <w:tab w:val="left" w:pos="1134"/>
      </w:tabs>
      <w:spacing w:before="120" w:after="120"/>
    </w:pPr>
    <w:rPr>
      <w:b/>
    </w:rPr>
  </w:style>
  <w:style w:type="paragraph" w:customStyle="1" w:styleId="GPsDefinition">
    <w:name w:val="GPs Definition"/>
    <w:basedOn w:val="Normal"/>
    <w:uiPriority w:val="99"/>
    <w:qFormat/>
    <w:pPr>
      <w:numPr>
        <w:numId w:val="15"/>
      </w:numPr>
      <w:tabs>
        <w:tab w:val="left" w:pos="175"/>
      </w:tabs>
      <w:spacing w:after="120"/>
    </w:pPr>
  </w:style>
  <w:style w:type="paragraph" w:customStyle="1" w:styleId="GPSDefinitionL2">
    <w:name w:val="GPS Definition L2"/>
    <w:basedOn w:val="GPsDefinition"/>
    <w:uiPriority w:val="99"/>
    <w:qFormat/>
    <w:pPr>
      <w:numPr>
        <w:ilvl w:val="1"/>
      </w:numPr>
      <w:tabs>
        <w:tab w:val="num" w:pos="2381"/>
      </w:tabs>
    </w:pPr>
  </w:style>
  <w:style w:type="paragraph" w:customStyle="1" w:styleId="GPSDefinitionL3">
    <w:name w:val="GPS Definition L3"/>
    <w:basedOn w:val="GPSDefinitionL2"/>
    <w:uiPriority w:val="99"/>
    <w:qFormat/>
    <w:pPr>
      <w:numPr>
        <w:ilvl w:val="2"/>
      </w:numPr>
      <w:tabs>
        <w:tab w:val="num" w:pos="2381"/>
      </w:tabs>
      <w:ind w:hanging="794"/>
    </w:pPr>
  </w:style>
  <w:style w:type="paragraph" w:customStyle="1" w:styleId="GPSDefinitionL4">
    <w:name w:val="GPS Definition L4"/>
    <w:basedOn w:val="GPSDefinitionL3"/>
    <w:uiPriority w:val="99"/>
    <w:qFormat/>
    <w:pPr>
      <w:numPr>
        <w:ilvl w:val="3"/>
      </w:numPr>
      <w:tabs>
        <w:tab w:val="num" w:pos="2381"/>
      </w:tabs>
      <w:ind w:hanging="794"/>
    </w:pPr>
  </w:style>
  <w:style w:type="character" w:customStyle="1" w:styleId="GPSL1CLAUSEHEADINGChar">
    <w:name w:val="GPS L1 CLAUSE HEADING Char"/>
    <w:uiPriority w:val="99"/>
    <w:rPr>
      <w:rFonts w:eastAsia="STZhongsong"/>
      <w:b/>
      <w:caps/>
      <w:sz w:val="22"/>
      <w:lang w:val="x-none"/>
    </w:rPr>
  </w:style>
  <w:style w:type="character" w:customStyle="1" w:styleId="GPSL2NumberedBoldHeadingChar">
    <w:name w:val="GPS L2 Numbered Bold Heading Char"/>
    <w:rPr>
      <w:rFonts w:eastAsia="Times New Roman"/>
      <w:b/>
      <w:sz w:val="22"/>
      <w:lang w:val="x-none"/>
    </w:rPr>
  </w:style>
  <w:style w:type="character" w:customStyle="1" w:styleId="GPSL4numberedclauseChar">
    <w:name w:val="GPS L4 numbered clause Char"/>
    <w:rPr>
      <w:rFonts w:eastAsia="Times New Roman"/>
      <w:sz w:val="22"/>
      <w:lang w:val="x-none"/>
    </w:rPr>
  </w:style>
  <w:style w:type="character" w:customStyle="1" w:styleId="GPSL5numberedclauseChar">
    <w:name w:val="GPS L5 numbered clause Char"/>
    <w:rPr>
      <w:rFonts w:eastAsia="Times New Roman"/>
      <w:sz w:val="22"/>
      <w:lang w:val="x-none"/>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autoSpaceDE w:val="0"/>
      <w:autoSpaceDN w:val="0"/>
      <w:adjustRightInd w:val="0"/>
      <w:spacing w:after="80"/>
    </w:pPr>
    <w:rPr>
      <w:rFonts w:cs="Calibri"/>
      <w:color w:val="000000"/>
      <w:sz w:val="22"/>
      <w:szCs w:val="22"/>
    </w:rPr>
  </w:style>
  <w:style w:type="paragraph" w:customStyle="1" w:styleId="ssNoHeading2">
    <w:name w:val="ssNoHeading2"/>
    <w:basedOn w:val="Heading2"/>
    <w:rsid w:val="00F766FF"/>
    <w:pPr>
      <w:keepNext w:val="0"/>
      <w:keepLines w:val="0"/>
      <w:numPr>
        <w:ilvl w:val="2"/>
        <w:numId w:val="0"/>
      </w:numPr>
      <w:tabs>
        <w:tab w:val="num" w:pos="709"/>
        <w:tab w:val="num" w:pos="862"/>
      </w:tabs>
      <w:autoSpaceDE/>
      <w:autoSpaceDN/>
      <w:adjustRightInd/>
      <w:spacing w:after="220"/>
      <w:ind w:left="709" w:hanging="709"/>
    </w:pPr>
    <w:rPr>
      <w:rFonts w:ascii="Arial" w:hAnsi="Arial"/>
      <w:b w:val="0"/>
      <w:szCs w:val="20"/>
    </w:rPr>
  </w:style>
  <w:style w:type="paragraph" w:customStyle="1" w:styleId="ssNoHeading3">
    <w:name w:val="ssNoHeading3"/>
    <w:basedOn w:val="Heading3"/>
    <w:link w:val="ssNoHeading3Char"/>
    <w:rsid w:val="00F766FF"/>
    <w:pPr>
      <w:keepLines w:val="0"/>
      <w:numPr>
        <w:ilvl w:val="0"/>
        <w:numId w:val="0"/>
      </w:numPr>
      <w:tabs>
        <w:tab w:val="num" w:pos="1418"/>
        <w:tab w:val="num" w:pos="2268"/>
      </w:tabs>
      <w:autoSpaceDE/>
      <w:autoSpaceDN/>
      <w:adjustRightInd/>
      <w:spacing w:after="260" w:line="260" w:lineRule="atLeast"/>
      <w:ind w:left="1418" w:hanging="709"/>
    </w:pPr>
    <w:rPr>
      <w:rFonts w:ascii="Arial" w:hAnsi="Arial"/>
      <w:szCs w:val="20"/>
      <w:lang w:eastAsia="zh-CN"/>
    </w:rPr>
  </w:style>
  <w:style w:type="character" w:customStyle="1" w:styleId="ssNoHeading3Char">
    <w:name w:val="ssNoHeading3 Char"/>
    <w:link w:val="ssNoHeading3"/>
    <w:locked/>
    <w:rsid w:val="00F766FF"/>
    <w:rPr>
      <w:rFonts w:ascii="Arial" w:hAnsi="Arial" w:cs="Arial"/>
      <w:sz w:val="22"/>
      <w:lang w:eastAsia="zh-CN"/>
    </w:rPr>
  </w:style>
  <w:style w:type="character" w:customStyle="1" w:styleId="BodyChar">
    <w:name w:val="Body Char"/>
    <w:link w:val="Body"/>
    <w:rsid w:val="00F766FF"/>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086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3E16D-563C-4922-BA3C-EEAADF55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13089</Words>
  <Characters>74610</Characters>
  <Application>Microsoft Office Word</Application>
  <DocSecurity>0</DocSecurity>
  <Lines>621</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2018-09-12T07:56:00Z</dcterms:created>
  <dcterms:modified xsi:type="dcterms:W3CDTF">2018-09-12T07:57:00Z</dcterms:modified>
</cp:coreProperties>
</file>